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86EA7"/>
    <w:p w14:paraId="53A62C81">
      <w:pPr>
        <w:keepNext/>
        <w:keepLines/>
        <w:spacing w:before="40" w:line="259" w:lineRule="auto"/>
        <w:outlineLvl w:val="3"/>
        <w:rPr>
          <w:rFonts w:ascii="Calibri Light" w:hAnsi="Calibri Light" w:eastAsia="Times New Roman" w:cs="Times New Roman"/>
          <w:b/>
          <w:bCs/>
          <w:color w:val="404040"/>
          <w:kern w:val="0"/>
          <w:sz w:val="24"/>
          <w:szCs w:val="24"/>
          <w:u w:val="single"/>
          <w14:ligatures w14:val="none"/>
        </w:rPr>
      </w:pPr>
      <w:r>
        <w:rPr>
          <w:rFonts w:ascii="Calibri Light" w:hAnsi="Calibri Light" w:eastAsia="Times New Roman" w:cs="Times New Roman"/>
          <w:b/>
          <w:bCs/>
          <w:color w:val="404040"/>
          <w:kern w:val="0"/>
          <w:sz w:val="24"/>
          <w:szCs w:val="24"/>
          <w:u w:val="single"/>
          <w14:ligatures w14:val="none"/>
        </w:rPr>
        <w:t>OSNOVNA  ŠKOLA TRNOVITIČKI POPOVAC</w:t>
      </w:r>
    </w:p>
    <w:p w14:paraId="29063A24">
      <w:pPr>
        <w:keepNext/>
        <w:keepLines/>
        <w:spacing w:before="40" w:line="259" w:lineRule="auto"/>
        <w:outlineLvl w:val="3"/>
        <w:rPr>
          <w:rFonts w:ascii="Calibri Light" w:hAnsi="Calibri Light" w:eastAsia="Times New Roman" w:cs="Times New Roman"/>
          <w:b/>
          <w:bCs/>
          <w:color w:val="404040"/>
          <w:kern w:val="0"/>
          <w14:ligatures w14:val="none"/>
        </w:rPr>
      </w:pPr>
      <w:r>
        <w:rPr>
          <w:rFonts w:ascii="Calibri Light" w:hAnsi="Calibri Light" w:eastAsia="Times New Roman" w:cs="Times New Roman"/>
          <w:b/>
          <w:bCs/>
          <w:color w:val="404040"/>
          <w:kern w:val="0"/>
          <w14:ligatures w14:val="none"/>
        </w:rPr>
        <w:t xml:space="preserve">TRNOVITIČKI POPOVAC 80. </w:t>
      </w:r>
    </w:p>
    <w:p w14:paraId="6EF1326B">
      <w:pPr>
        <w:rPr>
          <w:rFonts w:ascii="Calibri" w:hAnsi="Calibri" w:eastAsia="Calibri" w:cs="Times New Roman"/>
          <w:kern w:val="0"/>
          <w14:ligatures w14:val="none"/>
        </w:rPr>
      </w:pPr>
      <w:r>
        <w:rPr>
          <w:rFonts w:ascii="Calibri" w:hAnsi="Calibri" w:eastAsia="Calibri" w:cs="Times New Roman"/>
          <w:kern w:val="0"/>
          <w14:ligatures w14:val="none"/>
        </w:rPr>
        <w:t>43280 GAREŠNICA</w:t>
      </w:r>
    </w:p>
    <w:p w14:paraId="36282DAE">
      <w:pPr>
        <w:rPr>
          <w:rFonts w:ascii="Calibri" w:hAnsi="Calibri" w:eastAsia="Calibri" w:cs="Times New Roman"/>
          <w:b/>
          <w:bCs/>
          <w:color w:val="404040"/>
          <w:kern w:val="0"/>
          <w14:ligatures w14:val="none"/>
        </w:rPr>
      </w:pPr>
      <w:r>
        <w:rPr>
          <w:rFonts w:ascii="Calibri" w:hAnsi="Calibri" w:eastAsia="Calibri" w:cs="Times New Roman"/>
          <w:b/>
          <w:bCs/>
          <w:color w:val="404040"/>
          <w:kern w:val="0"/>
          <w14:ligatures w14:val="none"/>
        </w:rPr>
        <w:t>OIB: 18432995340</w:t>
      </w:r>
    </w:p>
    <w:p w14:paraId="3E6D3AF6">
      <w:pPr>
        <w:keepNext/>
        <w:keepLines/>
        <w:spacing w:before="40" w:line="259" w:lineRule="auto"/>
        <w:outlineLvl w:val="3"/>
        <w:rPr>
          <w:rFonts w:ascii="Calibri Light" w:hAnsi="Calibri Light" w:eastAsia="Times New Roman" w:cs="Times New Roman"/>
          <w:b/>
          <w:bCs/>
          <w:color w:val="404040"/>
          <w:kern w:val="0"/>
          <w14:ligatures w14:val="none"/>
        </w:rPr>
      </w:pPr>
      <w:r>
        <w:rPr>
          <w:rFonts w:ascii="Calibri Light" w:hAnsi="Calibri Light" w:eastAsia="Times New Roman" w:cs="Times New Roman"/>
          <w:b/>
          <w:bCs/>
          <w:color w:val="404040"/>
          <w:kern w:val="0"/>
          <w14:ligatures w14:val="none"/>
        </w:rPr>
        <w:t>RKPD: 08457</w:t>
      </w:r>
    </w:p>
    <w:p w14:paraId="7F7BC588">
      <w:pPr>
        <w:spacing w:line="276" w:lineRule="auto"/>
        <w:rPr>
          <w:rFonts w:hint="default" w:ascii="Times New Roman" w:hAnsi="Times New Roman" w:eastAsia="Calibri" w:cs="Times New Roman"/>
          <w:kern w:val="0"/>
          <w:sz w:val="24"/>
          <w:szCs w:val="24"/>
          <w:highlight w:val="none"/>
          <w:lang w:val="hr-HR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>KLASA: 400-02/</w:t>
      </w:r>
      <w:r>
        <w:rPr>
          <w:rFonts w:ascii="Times New Roman" w:hAnsi="Times New Roman" w:eastAsia="Calibri" w:cs="Times New Roman"/>
          <w:kern w:val="0"/>
          <w:sz w:val="24"/>
          <w:szCs w:val="24"/>
          <w:highlight w:val="none"/>
          <w14:ligatures w14:val="none"/>
        </w:rPr>
        <w:t>2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highlight w:val="none"/>
          <w:lang w:val="hr-HR"/>
          <w14:ligatures w14:val="none"/>
        </w:rPr>
        <w:t>6</w:t>
      </w:r>
      <w:r>
        <w:rPr>
          <w:rFonts w:ascii="Times New Roman" w:hAnsi="Times New Roman" w:eastAsia="Calibri" w:cs="Times New Roman"/>
          <w:kern w:val="0"/>
          <w:sz w:val="24"/>
          <w:szCs w:val="24"/>
          <w:highlight w:val="none"/>
          <w14:ligatures w14:val="none"/>
        </w:rPr>
        <w:t>-01/0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highlight w:val="none"/>
          <w:lang w:val="hr-HR"/>
          <w14:ligatures w14:val="none"/>
        </w:rPr>
        <w:t>2</w:t>
      </w:r>
    </w:p>
    <w:p w14:paraId="4A55EE43">
      <w:pPr>
        <w:spacing w:line="276" w:lineRule="auto"/>
        <w:rPr>
          <w:rFonts w:hint="default" w:ascii="Times New Roman" w:hAnsi="Times New Roman" w:eastAsia="Calibri" w:cs="Times New Roman"/>
          <w:kern w:val="0"/>
          <w:sz w:val="24"/>
          <w:szCs w:val="24"/>
          <w:highlight w:val="none"/>
          <w:lang w:val="hr-HR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highlight w:val="none"/>
          <w14:ligatures w14:val="none"/>
        </w:rPr>
        <w:t>URBROJ: 2123-28-01-2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highlight w:val="none"/>
          <w:lang w:val="hr-HR"/>
          <w14:ligatures w14:val="none"/>
        </w:rPr>
        <w:t>6</w:t>
      </w:r>
      <w:r>
        <w:rPr>
          <w:rFonts w:ascii="Times New Roman" w:hAnsi="Times New Roman" w:eastAsia="Calibri" w:cs="Times New Roman"/>
          <w:kern w:val="0"/>
          <w:sz w:val="24"/>
          <w:szCs w:val="24"/>
          <w:highlight w:val="none"/>
          <w14:ligatures w14:val="none"/>
        </w:rPr>
        <w:t>-0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highlight w:val="none"/>
          <w:lang w:val="hr-HR"/>
          <w14:ligatures w14:val="none"/>
        </w:rPr>
        <w:t>1</w:t>
      </w:r>
    </w:p>
    <w:p w14:paraId="5DA263EB">
      <w:pPr>
        <w:spacing w:line="276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U Trnovitičkom Popovcu, </w:t>
      </w:r>
      <w:r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>16.07.2026.</w:t>
      </w: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godine</w:t>
      </w:r>
    </w:p>
    <w:p w14:paraId="17FCC5CE"/>
    <w:p w14:paraId="5F6986C4"/>
    <w:p w14:paraId="0E82EA8B"/>
    <w:p w14:paraId="71AD2F19"/>
    <w:p w14:paraId="14124ED2"/>
    <w:p w14:paraId="7A26E45F">
      <w:pP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Obveza izrade i usvajanja polugodišnjih i godišnjih izvještaja o izvršenju financijskog plana proračunskog korisnika propisana je člancima 81.-86. i čl. 76 novog Zakona o proračunu. (NN 144/2021), Pravilnika o polugodišnjem i godišnjem izvještaju o izvršenju Proračuna (NN 24/13  ,102/17,01/20,147/20,85/23) . I članka br.51 Statuta Osnovne škole Trnovitički Popovac , Školski odbor na sjednici održanoj </w:t>
      </w:r>
      <w:r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>16.07.2026.</w:t>
      </w: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donio je Izvještaj o izvršenju financijskog plana za razdoblje 01.01.2026. do 30.06.2026. </w:t>
      </w:r>
    </w:p>
    <w:p w14:paraId="411403D4">
      <w:pP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14:paraId="37E3A479">
      <w:pPr>
        <w:rPr>
          <w:rFonts w:ascii="Calibri" w:hAnsi="Calibri" w:eastAsia="Calibri" w:cs="Times New Roman"/>
          <w:kern w:val="0"/>
          <w14:ligatures w14:val="none"/>
        </w:rPr>
      </w:pPr>
    </w:p>
    <w:p w14:paraId="5A464B90">
      <w:pPr>
        <w:rPr>
          <w:rFonts w:ascii="Calibri" w:hAnsi="Calibri" w:eastAsia="Calibri" w:cs="Times New Roman"/>
          <w:kern w:val="0"/>
          <w14:ligatures w14:val="none"/>
        </w:rPr>
      </w:pPr>
    </w:p>
    <w:p w14:paraId="04D0EC35">
      <w:pPr>
        <w:rPr>
          <w:rFonts w:ascii="Calibri" w:hAnsi="Calibri" w:eastAsia="Calibri" w:cs="Times New Roman"/>
          <w:kern w:val="0"/>
          <w14:ligatures w14:val="none"/>
        </w:rPr>
      </w:pPr>
    </w:p>
    <w:p w14:paraId="1E621F4B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3329823C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Polugodišnje izvješće o izvršenju financijskog plana OŠ Trnovitički Popovac  za 2026. godinu</w:t>
      </w:r>
    </w:p>
    <w:p w14:paraId="69B19359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71F71D5F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412676B6">
      <w:pPr>
        <w:rPr>
          <w:rFonts w:ascii="Times New Roman" w:hAnsi="Times New Roman" w:eastAsia="Calibri" w:cs="Times New Roman"/>
          <w:kern w:val="0"/>
        </w:rPr>
      </w:pPr>
      <w:r>
        <w:rPr>
          <w:rFonts w:ascii="Times New Roman" w:hAnsi="Times New Roman" w:eastAsia="Calibri" w:cs="Times New Roman"/>
          <w:kern w:val="0"/>
        </w:rPr>
        <w:t>Polugodišnji izvještaj o izvršenju financijskog plana proračunskog korisnika mora  sadržavati slijedeće elemente koji su propisani člancima 30. do 47. Pravilnika o proračunskom računovodstvu i računskom planu:</w:t>
      </w:r>
    </w:p>
    <w:p w14:paraId="7BA4EF6B">
      <w:pPr>
        <w:numPr>
          <w:ilvl w:val="0"/>
          <w:numId w:val="1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Opći dio koji se sastoji od:</w:t>
      </w:r>
    </w:p>
    <w:p w14:paraId="0181CAC5">
      <w:pPr>
        <w:numPr>
          <w:ilvl w:val="1"/>
          <w:numId w:val="1"/>
        </w:numPr>
        <w:rPr>
          <w:rFonts w:ascii="Times New Roman" w:hAnsi="Times New Roman" w:eastAsia="Calibri" w:cs="Times New Roman"/>
          <w:kern w:val="0"/>
        </w:rPr>
      </w:pPr>
      <w:r>
        <w:rPr>
          <w:rFonts w:ascii="Times New Roman" w:hAnsi="Times New Roman" w:eastAsia="Calibri" w:cs="Times New Roman"/>
          <w:kern w:val="0"/>
        </w:rPr>
        <w:t>Sažetak Računa prihoda i rashoda i Računa financiranja</w:t>
      </w:r>
    </w:p>
    <w:p w14:paraId="6B4C9472">
      <w:pPr>
        <w:numPr>
          <w:ilvl w:val="1"/>
          <w:numId w:val="1"/>
        </w:numPr>
        <w:rPr>
          <w:rFonts w:ascii="Times New Roman" w:hAnsi="Times New Roman" w:eastAsia="Calibri" w:cs="Times New Roman"/>
          <w:kern w:val="0"/>
        </w:rPr>
      </w:pPr>
      <w:r>
        <w:rPr>
          <w:rFonts w:ascii="Times New Roman" w:hAnsi="Times New Roman" w:eastAsia="Calibri" w:cs="Times New Roman"/>
          <w:kern w:val="0"/>
        </w:rPr>
        <w:t>Račun prihoda i rashoda</w:t>
      </w:r>
    </w:p>
    <w:p w14:paraId="73E7D20C">
      <w:pPr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Izvještaj o prihodim i rashodima prema ekonomskoj klasifikaciji</w:t>
      </w:r>
    </w:p>
    <w:p w14:paraId="1F720CAC">
      <w:pPr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Izvještaj o prihodim i rashodima prema izvorima financiranja,</w:t>
      </w:r>
    </w:p>
    <w:p w14:paraId="755CF521">
      <w:pPr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Izvještaj o rashodima prema funkcijskoj klasifikaciji</w:t>
      </w:r>
    </w:p>
    <w:p w14:paraId="0A34DA3E">
      <w:pPr>
        <w:numPr>
          <w:ilvl w:val="1"/>
          <w:numId w:val="1"/>
        </w:numPr>
        <w:rPr>
          <w:rFonts w:ascii="Times New Roman" w:hAnsi="Times New Roman" w:eastAsia="Calibri" w:cs="Times New Roman"/>
          <w:kern w:val="0"/>
        </w:rPr>
      </w:pPr>
      <w:r>
        <w:rPr>
          <w:rFonts w:ascii="Times New Roman" w:hAnsi="Times New Roman" w:eastAsia="Calibri" w:cs="Times New Roman"/>
          <w:kern w:val="0"/>
        </w:rPr>
        <w:t>Račun financiranja</w:t>
      </w:r>
    </w:p>
    <w:p w14:paraId="28A53BB1">
      <w:pPr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Izvještaj računa financiranja prema ekonomskoj klasifikaciji,</w:t>
      </w:r>
    </w:p>
    <w:p w14:paraId="65EFAD7F">
      <w:pPr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izvještaj računa financiranja prema izvorima financiranja</w:t>
      </w:r>
    </w:p>
    <w:p w14:paraId="36DFC3D1">
      <w:pPr>
        <w:numPr>
          <w:ilvl w:val="0"/>
          <w:numId w:val="1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Posebni dio izvršenja financijskog plana sadrži:</w:t>
      </w:r>
    </w:p>
    <w:p w14:paraId="41680B3B">
      <w:pPr>
        <w:numPr>
          <w:ilvl w:val="0"/>
          <w:numId w:val="2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Izvještaj po programskoj klasifikaciji – (prikaz rashoda i izdataka iskazanih po izvorima financiranja i ekonomskoj klasifikaciji, raspoređenih u programe koji se sastoje od aktivnosti i projekta).</w:t>
      </w:r>
    </w:p>
    <w:p w14:paraId="4F83BC43">
      <w:pPr>
        <w:rPr>
          <w:rFonts w:ascii="Times New Roman" w:hAnsi="Times New Roman" w:eastAsia="Calibri" w:cs="Times New Roman"/>
          <w:kern w:val="0"/>
        </w:rPr>
      </w:pPr>
    </w:p>
    <w:p w14:paraId="0BDA2A6A">
      <w:pPr>
        <w:numPr>
          <w:ilvl w:val="0"/>
          <w:numId w:val="1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Obrazloženje izvršenja financijskog plan: (čl.42. st.1 Pravilnika)</w:t>
      </w:r>
    </w:p>
    <w:p w14:paraId="4B99D057">
      <w:pPr>
        <w:rPr>
          <w:rFonts w:ascii="Times New Roman" w:hAnsi="Times New Roman" w:eastAsia="Calibri" w:cs="Times New Roman"/>
          <w:kern w:val="0"/>
        </w:rPr>
      </w:pPr>
    </w:p>
    <w:p w14:paraId="66DA7D68">
      <w:pPr>
        <w:numPr>
          <w:ilvl w:val="1"/>
          <w:numId w:val="1"/>
        </w:numPr>
        <w:rPr>
          <w:rFonts w:ascii="Times New Roman" w:hAnsi="Times New Roman" w:eastAsia="Calibri" w:cs="Times New Roman"/>
          <w:kern w:val="0"/>
        </w:rPr>
      </w:pPr>
      <w:r>
        <w:rPr>
          <w:rFonts w:ascii="Times New Roman" w:hAnsi="Times New Roman" w:eastAsia="Calibri" w:cs="Times New Roman"/>
          <w:kern w:val="0"/>
        </w:rPr>
        <w:t>Obrazloženje općeg dijela izvještaja – isto sadrži obrazloženje ostvarenja prihoda i rashoda, primitaka i izdataka u izvršenom razdoblju</w:t>
      </w:r>
    </w:p>
    <w:p w14:paraId="6709FCE2">
      <w:pPr>
        <w:numPr>
          <w:ilvl w:val="1"/>
          <w:numId w:val="1"/>
        </w:numPr>
        <w:rPr>
          <w:rFonts w:ascii="Times New Roman" w:hAnsi="Times New Roman" w:eastAsia="Calibri" w:cs="Times New Roman"/>
          <w:kern w:val="0"/>
        </w:rPr>
      </w:pPr>
      <w:r>
        <w:rPr>
          <w:rFonts w:ascii="Times New Roman" w:hAnsi="Times New Roman" w:eastAsia="Calibri" w:cs="Times New Roman"/>
          <w:kern w:val="0"/>
        </w:rPr>
        <w:t>Obrazloženje prenesenog manjka odnosno viška financijskog plana</w:t>
      </w:r>
    </w:p>
    <w:p w14:paraId="05375ED8">
      <w:pPr>
        <w:rPr>
          <w:rFonts w:ascii="Times New Roman" w:hAnsi="Times New Roman" w:eastAsia="Calibri" w:cs="Times New Roman"/>
          <w:kern w:val="0"/>
        </w:rPr>
      </w:pPr>
    </w:p>
    <w:p w14:paraId="383E37CC">
      <w:pPr>
        <w:numPr>
          <w:ilvl w:val="0"/>
          <w:numId w:val="1"/>
        </w:numPr>
        <w:rPr>
          <w:rFonts w:ascii="Times New Roman" w:hAnsi="Times New Roman" w:eastAsia="Times New Roman" w:cs="Times New Roman"/>
          <w:kern w:val="0"/>
        </w:rPr>
      </w:pPr>
      <w:r>
        <w:rPr>
          <w:rFonts w:ascii="Times New Roman" w:hAnsi="Times New Roman" w:eastAsia="Times New Roman" w:cs="Times New Roman"/>
          <w:kern w:val="0"/>
        </w:rPr>
        <w:t>Posebni izvještaji</w:t>
      </w:r>
    </w:p>
    <w:p w14:paraId="45EF50D8">
      <w:pPr>
        <w:numPr>
          <w:ilvl w:val="1"/>
          <w:numId w:val="1"/>
        </w:numPr>
        <w:rPr>
          <w:rFonts w:ascii="Calibri" w:hAnsi="Calibri" w:eastAsia="Calibri" w:cs="Calibri"/>
          <w:kern w:val="0"/>
        </w:rPr>
      </w:pPr>
      <w:r>
        <w:rPr>
          <w:rFonts w:ascii="Times New Roman" w:hAnsi="Times New Roman" w:eastAsia="Calibri" w:cs="Times New Roman"/>
          <w:kern w:val="0"/>
        </w:rPr>
        <w:t>Izvještaj o zaduživanju na domaćem i stranom tržištu novca i kapitala - iako</w:t>
      </w:r>
      <w:r>
        <w:rPr>
          <w:rFonts w:ascii="Calibri" w:hAnsi="Calibri" w:eastAsia="Calibri" w:cs="Calibri"/>
          <w:kern w:val="0"/>
        </w:rPr>
        <w:t xml:space="preserve"> nije bilo zaduživanja potrebno je isto navesti</w:t>
      </w:r>
    </w:p>
    <w:p w14:paraId="08FD501B">
      <w:pPr>
        <w:rPr>
          <w:rFonts w:ascii="Calibri" w:hAnsi="Calibri" w:eastAsia="Calibri" w:cs="Calibri"/>
          <w:kern w:val="0"/>
        </w:rPr>
      </w:pPr>
    </w:p>
    <w:p w14:paraId="3AB96B17">
      <w:pPr>
        <w:rPr>
          <w:rFonts w:ascii="Calibri" w:hAnsi="Calibri" w:eastAsia="Calibri" w:cs="Calibri"/>
          <w:kern w:val="0"/>
        </w:rPr>
      </w:pPr>
    </w:p>
    <w:p w14:paraId="2CA7885A">
      <w:pPr>
        <w:rPr>
          <w:rFonts w:ascii="Calibri" w:hAnsi="Calibri" w:eastAsia="Calibri" w:cs="Calibri"/>
          <w:kern w:val="0"/>
        </w:rPr>
      </w:pPr>
    </w:p>
    <w:p w14:paraId="64BD711B">
      <w:pPr>
        <w:rPr>
          <w:rFonts w:ascii="Calibri" w:hAnsi="Calibri" w:eastAsia="Calibri" w:cs="Calibri"/>
          <w:kern w:val="0"/>
        </w:rPr>
      </w:pPr>
    </w:p>
    <w:p w14:paraId="7BA3CB62">
      <w:pPr>
        <w:rPr>
          <w:rFonts w:ascii="Calibri" w:hAnsi="Calibri" w:eastAsia="Calibri" w:cs="Calibri"/>
          <w:kern w:val="0"/>
        </w:rPr>
      </w:pPr>
    </w:p>
    <w:p w14:paraId="6B6BC4AB">
      <w:pPr>
        <w:rPr>
          <w:rFonts w:ascii="Calibri" w:hAnsi="Calibri" w:eastAsia="Calibri" w:cs="Calibri"/>
          <w:kern w:val="0"/>
        </w:rPr>
      </w:pPr>
    </w:p>
    <w:p w14:paraId="6EF0143E">
      <w:pPr>
        <w:rPr>
          <w:rFonts w:ascii="Calibri" w:hAnsi="Calibri" w:eastAsia="Calibri" w:cs="Calibri"/>
          <w:kern w:val="0"/>
        </w:rPr>
      </w:pPr>
    </w:p>
    <w:p w14:paraId="7D1ADAB7">
      <w:pPr>
        <w:rPr>
          <w:rFonts w:ascii="Calibri" w:hAnsi="Calibri" w:eastAsia="Calibri" w:cs="Calibri"/>
          <w:kern w:val="0"/>
        </w:rPr>
      </w:pPr>
    </w:p>
    <w:p w14:paraId="79BE22F7">
      <w:pPr>
        <w:rPr>
          <w:rFonts w:ascii="Calibri" w:hAnsi="Calibri" w:eastAsia="Calibri" w:cs="Calibri"/>
          <w:kern w:val="0"/>
        </w:rPr>
      </w:pPr>
    </w:p>
    <w:p w14:paraId="6A29C3D9"/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515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43"/>
        <w:gridCol w:w="520"/>
        <w:gridCol w:w="523"/>
        <w:gridCol w:w="520"/>
        <w:gridCol w:w="523"/>
        <w:gridCol w:w="520"/>
        <w:gridCol w:w="523"/>
        <w:gridCol w:w="520"/>
        <w:gridCol w:w="523"/>
        <w:gridCol w:w="543"/>
        <w:gridCol w:w="222"/>
      </w:tblGrid>
      <w:tr w14:paraId="487FF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2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74412">
            <w:pPr>
              <w:jc w:val="both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</w:p>
          <w:p w14:paraId="5F4B4B19">
            <w:pPr>
              <w:pStyle w:val="31"/>
              <w:numPr>
                <w:ilvl w:val="1"/>
                <w:numId w:val="3"/>
              </w:numP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 xml:space="preserve">                                                             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CF42B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</w:p>
        </w:tc>
      </w:tr>
      <w:tr w14:paraId="5A8DB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2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941F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3EFA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14:paraId="0981A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2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12"/>
              <w:tblW w:w="1357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16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7"/>
              <w:gridCol w:w="614"/>
            </w:tblGrid>
            <w:tr w14:paraId="10A54B0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2956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FAEC3CF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sz w:val="28"/>
                      <w:szCs w:val="28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sz w:val="28"/>
                      <w:szCs w:val="28"/>
                      <w:lang w:eastAsia="hr-HR"/>
                      <w14:ligatures w14:val="none"/>
                    </w:rPr>
                    <w:t>Izvještaj o izvršenju proračuna</w:t>
                  </w: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E9AB882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sz w:val="28"/>
                      <w:szCs w:val="28"/>
                      <w:lang w:eastAsia="hr-HR"/>
                      <w14:ligatures w14:val="none"/>
                    </w:rPr>
                  </w:pPr>
                </w:p>
              </w:tc>
            </w:tr>
            <w:tr w14:paraId="3B231FE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2956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03C8332">
                  <w:pPr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t>Za razdoblje od 01.01.2026. do 30.06.2026.</w:t>
                  </w: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81D05C">
                  <w:pPr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</w:p>
              </w:tc>
            </w:tr>
            <w:tr w14:paraId="0F39BF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2956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8CC461">
                  <w:pPr>
                    <w:spacing w:after="240"/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br w:type="textWrapping"/>
                  </w: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br w:type="textWrapping"/>
                  </w: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t xml:space="preserve">      Izvještaja o izvršenju financijskog plana za razdoblje 01.01.2026. – 30.06..2026.</w:t>
                  </w: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568BB1">
                  <w:pPr>
                    <w:spacing w:after="240"/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</w:p>
              </w:tc>
            </w:tr>
            <w:tr w14:paraId="64DA8F7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78103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A12302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6CED1F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758C8B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19F1B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5B11B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AC436B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74912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F2651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1D9D0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1D84F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838BE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B9B7E1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740989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42A8BB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3F6B9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0F2D7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450DFA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A0582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62347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182CB5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1BE83F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3A2EEC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FBFEE6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28C0A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73901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6BE93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DDEF6E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B251B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F6690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427C8D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550F31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D8B87E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E9D07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0EEF80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AAE61C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EEB3BA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5C86C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5AC607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FD374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3D8EC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9B642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D5DE94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CC5DE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3C525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4FB0855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258DB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BBB77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7A63B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A4F42C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DC0F4E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E8109E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764D83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2C7FA9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CE564A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753F0F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A4F8BA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8AD0BF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B0C01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4C64FE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6F536E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848F74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243BFE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24E71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C23AB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C537BD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C2962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077F6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3B476AC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1F72C8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74D29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6BF117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B0DE7A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F7DFC2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3FBE0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6B276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8D29D9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F46C2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5E67DF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67A7BF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F27E6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8E8472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1FE882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BAD42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668CF2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E001D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5B3FD9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515155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E0E2B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265F87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F9EEB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6BE5CB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D90B2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8E628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66190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EDAE86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F1370F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E2A07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33713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8B1F5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3E876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DD4DB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FC24E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920723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CA2F4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383757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53EB13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122954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C4B08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B4598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DB2B8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22407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0F442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B69E5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789D51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69AF2C38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Račun / opis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00406233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Izvršenje 2025.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4103E9B0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Izvorni plan 2026.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4E28D064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Izvršenje 2026.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0ECF712F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Indeks  3/1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4735DE48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Indeks  3/2</w:t>
                  </w:r>
                </w:p>
              </w:tc>
            </w:tr>
            <w:tr w14:paraId="04C26C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464EE03F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A. RAČUN PRIHODA I RASHODA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5AFDB01F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1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515A69EE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2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149EB30B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3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27476FD5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4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7A9A191D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5</w:t>
                  </w:r>
                </w:p>
              </w:tc>
            </w:tr>
            <w:tr w14:paraId="5B5F858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1C7DFAE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6 Prihodi poslovanja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DCF6D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369.889,80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6F788A0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853.069,96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41442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394.124,37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DF964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106,55%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F9612E4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46,20%</w:t>
                  </w:r>
                </w:p>
              </w:tc>
            </w:tr>
            <w:tr w14:paraId="4F76152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A925791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7 Prihodi od prodaje nefinancijske imovine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365979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6.450,00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F136447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FAD22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5D249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A52A44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</w:tr>
            <w:tr w14:paraId="416D576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017859E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UKUPNI PRIHODI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6DB43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376.339,80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A6CC0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853.069,96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1EE7600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394.124,37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3193B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104,73%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CFD031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46,20%</w:t>
                  </w:r>
                </w:p>
              </w:tc>
            </w:tr>
            <w:tr w14:paraId="4C28A33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ABE4184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 Rashodi poslovanja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E4228C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421.487,25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0E142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787.410,72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28C87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399.739,89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9FF11F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94,84%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F21550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50,77%</w:t>
                  </w:r>
                </w:p>
              </w:tc>
            </w:tr>
            <w:tr w14:paraId="6ECE342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E0A1FEA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 Rashodi za nabavu nefinancijske imovine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57730E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3.615,49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89C8A3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10.100,00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86EB6D9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594,86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A696119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16,45%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7BED3BF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5,89%</w:t>
                  </w:r>
                </w:p>
              </w:tc>
            </w:tr>
            <w:tr w14:paraId="3C3320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7B3C06A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UKUPNI RASHODI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5E99346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425.102,74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C3CC8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797.510,72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E89562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400.334,75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5BB7947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94,17%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428618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50,20%</w:t>
                  </w:r>
                </w:p>
              </w:tc>
            </w:tr>
            <w:tr w14:paraId="11C8E26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05FD900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VIŠAK / MANJAK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149A89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-48.762,94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7942D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55.559,24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057651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-6.210,38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898B6D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12,74%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AB903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-11,18%</w:t>
                  </w:r>
                </w:p>
              </w:tc>
            </w:tr>
            <w:tr w14:paraId="629795D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62A26162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B. RAČUN ZADUŽIVANJA / FINANCIRANJA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0A7ECFE3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3DF9DE6E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35D6E6D2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1061DD5C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1575C873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3CA47DF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C5BCCBD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8 Primici od financijske imovine i zaduživanja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8CA6FF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937042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A7B57F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EA94B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58FB11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7490966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8033F6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 Izdaci za financijsku imovinu i otplate zajmova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561AB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44AC63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3A37550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0D85A87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715A610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352B406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9E76235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NETO ZADUŽIVANJE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CAF7546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232FF75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7EFD41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7C6609C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0750AC6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</w:tr>
            <w:tr w14:paraId="6E65774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75337B0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UKUPNI DONOS VIŠKA / MANJKA IZ PRETHODNE(IH) GODINA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8C4D94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788FD2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64D1E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D66E9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5DED4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2D8608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59D52CE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VIŠAK / MANJAK IZ PRETHODNE(IH) GODINE KOJI ĆE SE POKRITI / RASPOREDITI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7E8047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0BFCA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-55.559,24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DE8A335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0C9EA91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D388CFF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</w:tr>
            <w:tr w14:paraId="12866D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09EFA67B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VIŠAK / MANJAK + NETO ZADUŽIVANJE / FINANCIRANJE + KORIŠTENO U PRETHODNIM GODINAMA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49D2624C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2711DE7E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73915C4A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2A8E7EE4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37A6BBFB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2C43919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740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15D991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 xml:space="preserve"> REZULTAT GODINE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48613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-48.762,94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C5ACF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89EFA7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-6.210,38</w:t>
                  </w:r>
                </w:p>
              </w:tc>
              <w:tc>
                <w:tcPr>
                  <w:tcW w:w="1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BBA4A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12,74%</w:t>
                  </w:r>
                </w:p>
              </w:tc>
              <w:tc>
                <w:tcPr>
                  <w:tcW w:w="12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3A92D8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0,00%</w:t>
                  </w:r>
                </w:p>
              </w:tc>
            </w:tr>
            <w:tr w14:paraId="0E7F25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73544F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1A496C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38DCE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7E915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9B465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E77D1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2B66EE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C9CA2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75CBDB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E5F76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503A6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DD460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3D5494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867DEA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D4EA8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35482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91DF29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F025F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EDDE9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780D02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BE095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79FA2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1E2DC64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BF3C5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97AFD5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E56F39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8CBA5A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79F8BB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BF588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B3E85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E44AE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619A9A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8F291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27352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2E4FF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BE7ED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513C15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EDD16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B87DE6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66BB17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83135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89E1E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AC009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A0222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24B4F4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</w:tbl>
          <w:p w14:paraId="110704C7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  <w:p w14:paraId="2B74301F">
            <w:pPr>
              <w:spacing w:after="240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  <w:p w14:paraId="3E73EFAE">
            <w:pPr>
              <w:spacing w:after="240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  <w:p w14:paraId="09549217">
            <w:pPr>
              <w:spacing w:after="240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5426B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14:paraId="57F6D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3D22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0FB4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5A57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9C70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560F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59C2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4556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CB34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6450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9A5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1CE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C669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984A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3D36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258E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A90F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8C3F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2282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B491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01F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A628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3998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39442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3027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2DC3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7C27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B17F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2E09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F628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</w:tr>
      <w:tr w14:paraId="2FB1E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D986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C90B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7B80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AF92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5DBA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8B19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</w:p>
        </w:tc>
      </w:tr>
    </w:tbl>
    <w:p w14:paraId="66CA102A"/>
    <w:p w14:paraId="7DCFADA6"/>
    <w:p w14:paraId="7C35E1FC"/>
    <w:p w14:paraId="2DDEF3A1"/>
    <w:p w14:paraId="1CACA552"/>
    <w:p w14:paraId="62CA7DB3"/>
    <w:p w14:paraId="00762441"/>
    <w:p w14:paraId="1A0A2420"/>
    <w:p w14:paraId="0BEE744B"/>
    <w:p w14:paraId="7E6F9011"/>
    <w:p w14:paraId="22B987C2"/>
    <w:p w14:paraId="2524AD4A"/>
    <w:p w14:paraId="23C1AD20"/>
    <w:p w14:paraId="748CCD0B"/>
    <w:p w14:paraId="2D926E35"/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7"/>
        <w:gridCol w:w="518"/>
        <w:gridCol w:w="225"/>
      </w:tblGrid>
      <w:tr w14:paraId="5FF05103">
        <w:trPr>
          <w:trHeight w:val="375" w:hRule="atLeast"/>
        </w:trPr>
        <w:tc>
          <w:tcPr>
            <w:tcW w:w="47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5DE61">
            <w:pP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1.2.1.                                                  Prihodi i rashodi prema ekonomskoj klasifikaciji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103FB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29EB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2D8E20B2">
        <w:trPr>
          <w:trHeight w:val="300" w:hRule="atLeast"/>
        </w:trPr>
        <w:tc>
          <w:tcPr>
            <w:tcW w:w="47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0BB34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Za razdoblje od 01.01.2026. do 30.06.2026.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A8EF0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A46E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5CFA3FE7">
      <w:r>
        <w:fldChar w:fldCharType="begin"/>
      </w:r>
      <w:r>
        <w:instrText xml:space="preserve"> LINK Excel.Sheet.12 "F:\\ Ispis izvršenja proračuna.xlsx" "Prihodi i rashodi prema ekonoms!R8C1:R81C22" \a \f 4 \h  \* MERGEFORMAT </w:instrText>
      </w:r>
      <w:r>
        <w:fldChar w:fldCharType="separate"/>
      </w:r>
    </w:p>
    <w:tbl>
      <w:tblPr>
        <w:tblStyle w:val="12"/>
        <w:tblW w:w="510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7"/>
        <w:gridCol w:w="229"/>
        <w:gridCol w:w="229"/>
        <w:gridCol w:w="229"/>
        <w:gridCol w:w="229"/>
        <w:gridCol w:w="229"/>
        <w:gridCol w:w="229"/>
        <w:gridCol w:w="229"/>
        <w:gridCol w:w="229"/>
        <w:gridCol w:w="231"/>
        <w:gridCol w:w="217"/>
        <w:gridCol w:w="229"/>
        <w:gridCol w:w="229"/>
        <w:gridCol w:w="285"/>
        <w:gridCol w:w="351"/>
        <w:gridCol w:w="9"/>
        <w:gridCol w:w="696"/>
        <w:gridCol w:w="587"/>
        <w:gridCol w:w="9"/>
        <w:gridCol w:w="669"/>
        <w:gridCol w:w="724"/>
        <w:gridCol w:w="10"/>
        <w:gridCol w:w="472"/>
        <w:gridCol w:w="541"/>
        <w:gridCol w:w="12"/>
        <w:gridCol w:w="307"/>
        <w:gridCol w:w="13"/>
        <w:gridCol w:w="581"/>
        <w:gridCol w:w="13"/>
      </w:tblGrid>
      <w:tr w14:paraId="1634A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720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26E1B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 xml:space="preserve">      Izvještaja o izvršenju financijskog plana za razdoblje 01.01.2026. – 30.06..2026.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6ECBC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14:paraId="553F5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94" w:hRule="atLeast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0DF4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2A41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D3B5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ACC5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E7EA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6E7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1B8B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8B96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E35C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11EE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66E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83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13F4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45DF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636F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7277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332D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1433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B31F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802E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36D2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F049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5FC8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94" w:hRule="atLeast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81A3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2C40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78A7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831C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6A6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DBE9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5AAA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0B5E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FA56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409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11CA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52D7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E6FF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B58F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1A31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AD0F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FA09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0D3A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40E0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BC98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6B2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F987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203C5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94" w:hRule="atLeast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7390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299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E74B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096E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9F08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CAE3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C7D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6AA3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C1C4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4A62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71D6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EBB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52D9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29B3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8C6D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14C1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353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56CF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1591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3341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2892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3C65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005BE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94" w:hRule="atLeast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E44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E356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3FC6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5B2A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CC2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9A3B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A039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7769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E53E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6A4B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9861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A5ED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4942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46B4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EEE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D881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A4CA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B269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34D3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6D85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6E19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4E9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41D92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94" w:hRule="atLeast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CDFC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BB4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A367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8120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8631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F682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BED2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689A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A946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BB54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C67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9140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3FD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5046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5DEF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6BE5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19E2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DD43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3918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2EDC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940F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F053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67A19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43738496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Račun / opis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41B25226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2025.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7106459B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Izvorni plan 2026.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18A9484B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2026.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14717D3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 3/1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0F69C46F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 3/2</w:t>
            </w:r>
          </w:p>
        </w:tc>
      </w:tr>
      <w:tr w14:paraId="18814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CC87CC8">
            <w:pP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A. RAČUN PRIHODA I RASHODA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267D44D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14489166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EFEC09C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4E2FF03F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202076FB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5</w:t>
            </w:r>
          </w:p>
        </w:tc>
      </w:tr>
      <w:tr w14:paraId="788CE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58C6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 Prihodi poslovanja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7471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369.889,80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F461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853.069,96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119E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394.124,37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A9CB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106,55%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9DE9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46,20%</w:t>
            </w:r>
          </w:p>
        </w:tc>
      </w:tr>
      <w:tr w14:paraId="77F57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F2B9E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63 Pomoći iz inozemstva i od subjekata unutar općeg proračuna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92B7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324.335,79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5FAC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758.503,82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2901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344.871,62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F90F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106,33%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9F55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45,47%</w:t>
            </w:r>
          </w:p>
        </w:tc>
      </w:tr>
      <w:tr w14:paraId="203D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6DF0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636 Pomoći proračunskim korisnicima iz proračuna koji im nije nadležan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66C1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310.160,51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FE8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98BA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328.840,40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E877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106,02%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0A4B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82B6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2709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6361 Tekuće pomoći proračunskim korisnicima iz proračuna koji im nije nadležan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290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310.160,51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35D1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6FEA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328.840,40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3B7C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106,02%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D9A0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309C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807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639 Prijenosi između proračunskih korisnika istog proračuna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AA17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14.175,28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0CBA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106A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16.031,22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917B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113,09%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FF2F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F512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7CF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6391 Tekući prijenosi između proračunskih korisnika istog proračuna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D591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2.126,27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0510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23D7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2.403,64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C944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113,04%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0914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976F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CDC5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6393 Tekući prijenosi između proračunskih korisnika istog proračuna temeljem prijenosa EU sredstava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D005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12.049,01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2FF8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24DB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13.627,58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D282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113,10%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90CA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3D1C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054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66 Prihodi od prodaje proizvoda i robe te pruženih usluga, prihodi od donacija te povrati po protestira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9364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4388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A759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E82D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F440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735ED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163DE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67 Prihodi iz nadležnog proračuna i od HZZO-a temeljem ugovornih obveza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116B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45.554,01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02C0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94.066,14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5534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49.252,75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8524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108,12%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9AA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52,36%</w:t>
            </w:r>
          </w:p>
        </w:tc>
      </w:tr>
      <w:tr w14:paraId="40F24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393C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671 Prihodi iz nadležnog proračuna za financiranje redovne djelatnosti proračunskih korisnika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9BC7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45.554,01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2CC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17D7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49.252,75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7358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108,12%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CE96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9625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BE3A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6711 Prihodi iz nadležnog proračuna za financiranje rashoda poslovanja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8D36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45.554,01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32BE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FEB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48.692,75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32BD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106,89%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9E1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2F0A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7EDE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6712 Prihodi iz nadležnog proračuna za financiranje rashoda za nabavu nefinancijske imovine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F989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D4CC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7D83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560,00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EB95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8B55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2470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DAB0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 Prihodi od prodaje nefinancijske imovine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7499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6.450,00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E1C9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B895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FFF1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936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6A4EE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1F59D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72 Prihodi od prodaje proizvedene dugotrajne imovine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73C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6.450,00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EA12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8A19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D1C8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BBFE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4EAC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7A8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721 Prihodi od prodaje građevinskih objekata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CC2E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6.450,00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EC50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A847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80C0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1BFE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4447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CE22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7212 Poslovni objekti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A67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6.450,00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9414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A5D9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656E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0DA5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8C1F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DCF3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 Rashodi poslovanja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317A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421.487,25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EE44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787.410,72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8D26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399.739,89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DC73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94,84%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0491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50,77%</w:t>
            </w:r>
          </w:p>
        </w:tc>
      </w:tr>
      <w:tr w14:paraId="5FF43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D4D4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31 Rashodi za zaposlene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9C42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369.908,10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EA9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663.667,00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2048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344.232,23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3D9C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93,06%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6660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51,87%</w:t>
            </w:r>
          </w:p>
        </w:tc>
      </w:tr>
      <w:tr w14:paraId="12BBB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24E2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 Plaće (Bruto)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CE7D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309.683,71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DDE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7DD5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286.269,02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38CA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92,44%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7BD0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A63D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E6E4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3111 Plaće za redovan rad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88B6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309.683,71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9D04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915E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286.269,02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A298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92,44%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87F2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C2EE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374D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 Ostali rashodi za zaposlene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505B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10.300,00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9E3A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F35C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11.875,20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F622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115,29%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5F90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66E5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1CA0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3121 Ostali rashodi za zaposlene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18BB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10.300,00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1B6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C51C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11.875,20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9E43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115,29%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59A5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2BB4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31A1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 Doprinosi na plaće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D8EF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49.924,39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1AD8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B2F8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46.088,01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AD79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92,32%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C656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ABCC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3B9A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3132 Doprinosi za obvezno zdravstveno osiguranje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5F0A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49.924,39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DAD8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6E7B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46.088,01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5136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92,32%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5424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6D58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055D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 Materijalni rashodi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922C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51.441,24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8A6D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120.843,72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5E29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55.386,09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3B70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107,67%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1ED3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45,83%</w:t>
            </w:r>
          </w:p>
        </w:tc>
      </w:tr>
      <w:tr w14:paraId="2EA8B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D34C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 Naknade troškova zaposlenima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F4CE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20.592,42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5144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6C42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20.889,42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FCB0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101,44%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CDAF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E7DE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380B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3211 Službena putovanja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E75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1.815,91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1B06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A370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2.479,80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E54A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136,56%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145C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F288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6756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3212 Naknade za prijevoz, za rad na terenu i odvojeni život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1CA2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18.696,51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511B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454C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17.992,62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5D10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96,24%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FE45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6F13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C5F9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3213 Stručno usavršavanje zaposlenika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C85B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19C9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1E74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335,00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1BFF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418,75%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E63A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902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8ACB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3214 Ostale naknade troškova zaposlenima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7148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AE79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36B5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82,00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8C5A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2D56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8D45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40BB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 Rashodi za materijal i energiju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16CC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22.030,66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6E23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11C3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24.820,16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C4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112,66%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6743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0D89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CC8D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3221 Uredski materijal i ostali materijalni rashodi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198D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3.197,98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0C3B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2623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2.804,80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E73C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87,71%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C821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742E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BC6D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 Materijal i sirovine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8738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9.127,55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6110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8692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10.834,85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7B43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118,70%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8BBA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8A25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BD535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3223 Energija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F1E9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9.383,10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5FDA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16F6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10.787,44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739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114,97%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D87D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0465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2BAC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3224 Materijal i dijelovi za tekuće i investicijsko održavanje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49D4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59,13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30BC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7C0B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142,58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8E3C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241,13%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7251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E325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6DDA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3225 Sitni inventar i autogume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2EA4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262,90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3452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66A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250,49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DB4D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95,28%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0204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EE96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C035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 Rashodi za usluge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9B65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6.252,90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5F4D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DA00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6.603,04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1564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105,60%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6F10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61F3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D00B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3231 Usluge telefona, interneta, pošte i prijevoza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1517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1.516,77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FD63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8EEF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1.292,32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4596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85,20%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70FA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7A82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35D4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3232 Usluge tekućeg i investicijskog  održavanja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E5A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507,61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0EDD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25D8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1.251,87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BC66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246,62%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6877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6745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2463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3234 Komunalne usluge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BE43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1.016,56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E51E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9729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719,89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E235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70,82%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E663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9D70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9AC9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3235 Zakupnine i najamnine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EF27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232,26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9E39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C7EE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232,26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517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B0B2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895B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B65B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3236 Zdravstvene i veterinarske usluge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0A2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178,00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3560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718D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177,00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FC31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99,44%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C604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0024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6F5C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3237 Intelektualne i osobne usluge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F3B9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362,50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EE6F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EEE3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732,20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58A1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201,99%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EC96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EA61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366A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3238 Računalne usluge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5649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2.439,20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D0F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14A3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2.197,50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9AED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90,09%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5868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3E17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D65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324 Naknade troškova osobama izvan radnog odnosa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9209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3429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EE55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150,40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FFFF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B484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09E8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5A59E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3241 Naknade troškova osobama izvan radnog odnosa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F862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B35D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DCD4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150,40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9EC6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CE5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751A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235D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 Ostali nespomenuti rashodi poslovanja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8414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2.565,26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C7E2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1988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2.923,07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6645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113,95%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5296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31A5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6E055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3293 Reprezentacija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FF9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979,54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0F34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0EA7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1.028,59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EC51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105,01%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D087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B2E4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1327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3294 Članarine i norme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8E76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190,00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31A4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44C9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190,00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C2B0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B9F6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6B2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928E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3295 Pristojbe i naknade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21CE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1.395,72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A8ED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5F92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1.364,48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38E4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97,76%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710F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C29C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44D8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3299 Ostali nespomenuti rashodi poslovanja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FE97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D8DB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2AAD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340,00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1535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660B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A2D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1080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34 Financijski rashodi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DE49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630F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17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18F8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FE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6833D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3FD8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 Naknade građanima i kućanstvima na temelju osiguranja i druge naknade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24AA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3,11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7F43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2.550,00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0B74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2E0D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8D36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4C923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BD1A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372 Ostale naknade građanima i kućanstvima iz proračuna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61D1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3,11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8365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92F5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951D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5015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40D5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EA22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3722 Naknade građanima i kućanstvima u naravi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EB27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3,11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251D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A2BD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0B0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02A2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DE53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4542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38 Rashodi za donacije, kazne, naknade šteta i kapitalne pomoći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C3BA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134,80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A0C7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D79B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121,57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4243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90,19%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D788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40,52%</w:t>
            </w:r>
          </w:p>
        </w:tc>
      </w:tr>
      <w:tr w14:paraId="30DF7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92A6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381 Tekuće donacije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C717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134,80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A612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D534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121,57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1BE2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90,19%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826A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5A99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A0C9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3812 Tekuće donacije u naravi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09A4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134,80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B3E7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8C05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121,57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874F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90,19%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B347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95D2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C338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 Rashodi za nabavu nefinancijske imovine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0AC4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3.615,49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D5C5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10.100,00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CFCF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594,86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1EE9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16,45%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A124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5,89%</w:t>
            </w:r>
          </w:p>
        </w:tc>
      </w:tr>
      <w:tr w14:paraId="418C1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472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 Rashodi za nabavu proizvedene dugotrajne imovine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3254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3.615,49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97ED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10.100,00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3CF7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594,86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B5F3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16,45%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0063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5,89%</w:t>
            </w:r>
          </w:p>
        </w:tc>
      </w:tr>
      <w:tr w14:paraId="7F474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AE89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422 Postrojenja i oprema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0F9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3.615,49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8ED6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3DF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560,00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A547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15,49%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7341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666B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7BA7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4221 Uredska oprema i namještaj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9ADD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FE58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4671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560,00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4E14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2886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0D84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264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4223 Oprema za održavanje i zaštitu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77E4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3.615,49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35A2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6828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95DC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EE5F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9D66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F298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424 Knjige, umjetnička djela i ostale izložbene vrijednosti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861C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BEB6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1CB2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34,86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1B4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2BF6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F46D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6029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4241 Knjige</w:t>
            </w: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D416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2E64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843A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34,86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810B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54AE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B8DB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F981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B24B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B6EE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23C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C5CC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0B21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25A3B5FB">
      <w:r>
        <w:fldChar w:fldCharType="end"/>
      </w:r>
    </w:p>
    <w:p w14:paraId="317A120C"/>
    <w:p w14:paraId="0326FAF4"/>
    <w:p w14:paraId="102D463E"/>
    <w:p w14:paraId="192B45C2"/>
    <w:p w14:paraId="1161E168"/>
    <w:p w14:paraId="6F1A145B"/>
    <w:p w14:paraId="14892D76"/>
    <w:p w14:paraId="6DA1C2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1.2.2.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7"/>
        <w:gridCol w:w="623"/>
      </w:tblGrid>
      <w:tr w14:paraId="070ED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FA500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Prihodi i rashodi prema izvorima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9D721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</w:p>
        </w:tc>
      </w:tr>
      <w:tr w14:paraId="0625B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D409F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Za razdoblje od 01.01.2026. do 30.06.2026.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4F4F2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348A0D37"/>
    <w:tbl>
      <w:tblPr>
        <w:tblStyle w:val="12"/>
        <w:tblW w:w="143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19"/>
        <w:gridCol w:w="631"/>
        <w:gridCol w:w="650"/>
        <w:gridCol w:w="21"/>
        <w:gridCol w:w="629"/>
        <w:gridCol w:w="650"/>
        <w:gridCol w:w="23"/>
        <w:gridCol w:w="627"/>
        <w:gridCol w:w="650"/>
        <w:gridCol w:w="25"/>
        <w:gridCol w:w="625"/>
        <w:gridCol w:w="650"/>
        <w:gridCol w:w="27"/>
        <w:gridCol w:w="623"/>
        <w:gridCol w:w="32"/>
        <w:gridCol w:w="615"/>
        <w:gridCol w:w="32"/>
      </w:tblGrid>
      <w:tr w14:paraId="0FF7B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682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2451C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 xml:space="preserve">      Izvještaja o izvršenju financijskog plana za razdoblje 01.01.2026. – 30.06..2026.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22B66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14:paraId="3FC17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5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4F63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74B9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B9F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B32D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96B3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22CE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0E48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AA26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5CB4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30AB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E549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EE29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6AEB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863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CBC7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7B13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698F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7440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9838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7BAB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2F53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7219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0D521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5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8DD5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0F44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82A5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C868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18A6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6CB5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468A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ECB0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F534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A000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F68C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4680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7891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237A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ED44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22E9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304E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F801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19CF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07D4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4330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5E8D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7F1CC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5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3CFF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E8B9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E6E5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C89F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60B6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FF7C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A88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BC41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FBB1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A504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6A0A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E70A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56B4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2234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FCDD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82DF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7F83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ABC4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70A7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B3D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486C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2A9E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02418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5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56C9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41B6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BEE8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A55A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5ED9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8C3F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2120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B4F3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AF0A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F4AA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FB88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7781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73B9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4CD0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AEEA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20D0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9A9E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86C0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4D8E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0FA2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91F1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A209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2BDE0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05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D3E6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F163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2FF1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0CC0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0FF7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6466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8087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A247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58B2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8FBB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C6D9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463B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1354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58C3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0959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673A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FAC4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1EF9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284F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31E1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7357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A3A5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0730C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00C54427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Račun / opis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2AD4403F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2025.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2BB16D95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Izvorni plan 2026.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50C5B10D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2026.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4B261F9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 3/1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1096E08A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 3/2</w:t>
            </w:r>
          </w:p>
        </w:tc>
      </w:tr>
      <w:tr w14:paraId="5526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75F03EC9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PRIHODI I RASHODI PREMA IZVORIMA FINANCIRANJA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1CA5AE5E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1B1EFDAE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0EF6B22A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291DA05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709D1473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</w:t>
            </w:r>
          </w:p>
        </w:tc>
      </w:tr>
      <w:tr w14:paraId="51CB8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412550A3">
            <w:pP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 xml:space="preserve"> SVEUKUPNI PRIHODI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4F935ABA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376.339,80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630C5F6B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853.069,96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6CB58182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394.124,37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A3638D0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104,73%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D2E3C48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46,20%</w:t>
            </w:r>
          </w:p>
        </w:tc>
      </w:tr>
      <w:tr w14:paraId="79FF6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7771A1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7F300CF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29.163,39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716F27B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52.174,11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0528CC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17.526,14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9EFF2F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60,10%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549599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33,59%</w:t>
            </w:r>
          </w:p>
        </w:tc>
      </w:tr>
      <w:tr w14:paraId="0349E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552356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DD7CCC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29.163,39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AD864C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52.174,11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AA0239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17.526,14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C82B30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60,10%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D1AAC1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33,59%</w:t>
            </w:r>
          </w:p>
        </w:tc>
      </w:tr>
      <w:tr w14:paraId="433B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45C6022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84C6DC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347.176,41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71C483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800.395,85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630AD5B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376.598,23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31B5E41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108,47%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29FBFD9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47,05%</w:t>
            </w:r>
          </w:p>
        </w:tc>
      </w:tr>
      <w:tr w14:paraId="65C22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CC9A4A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EBE2EE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11A093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775.948,23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EDF7C4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361.915,45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EAED98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4DCCD7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46,64%</w:t>
            </w:r>
          </w:p>
        </w:tc>
      </w:tr>
      <w:tr w14:paraId="7D53B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51F3F4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5.2. Ostale pomoći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ACAD4D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334.336,80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25329D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1.056,00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B792E1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1.055,20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2EA146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0,32%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91D8A6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99,92%</w:t>
            </w:r>
          </w:p>
        </w:tc>
      </w:tr>
      <w:tr w14:paraId="4D5E7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F1C77DA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5.4. Europski poljoprivredni jamstveni fond (EAGF)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22EA64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12.839,61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2AD176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879,00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568AE8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BFD3E0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D414E1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77437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B35E42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5.6. Fondovi EU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D7E175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9522B6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22.512,62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0584DF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13.627,58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6B2AE2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FCFF05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60,53%</w:t>
            </w:r>
          </w:p>
        </w:tc>
      </w:tr>
      <w:tr w14:paraId="0B4F6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72611A4E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6. DONACIJE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123B1A2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066E85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6ED195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0F20B7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70AF2C9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17147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FB3433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6.1. DONACIJE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B26C69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99C48A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B9CB77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63726E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CDD0BA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62856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FF57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78FE5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8259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73D85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FD02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2961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5BC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3C817E8">
            <w:pP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 xml:space="preserve"> SVEUKUPNI RASHODI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1E49F1C8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425.102,74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15CD389C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D017FED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D959D56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94,17%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2FC1B7FF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50,20%</w:t>
            </w:r>
          </w:p>
        </w:tc>
      </w:tr>
      <w:tr w14:paraId="6BB10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1B2BD0EC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7AFA9BE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30.375,17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7B3B4F7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51.237,72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2D64A01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26.944,05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85F333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88,70%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473C345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52,59%</w:t>
            </w:r>
          </w:p>
        </w:tc>
      </w:tr>
      <w:tr w14:paraId="3BEB9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182832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6ED359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30.375,17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52CFEC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51.237,72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A37DED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26.944,05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C6DCB7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88,70%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B23150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52,59%</w:t>
            </w:r>
          </w:p>
        </w:tc>
      </w:tr>
      <w:tr w14:paraId="0D835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793DD0C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E9400C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394.727,57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6EEFCAC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745.773,00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044373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373.390,70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4075F3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94,59%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39DDD00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50,07%</w:t>
            </w:r>
          </w:p>
        </w:tc>
      </w:tr>
      <w:tr w14:paraId="374DC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2521FB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396B18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72554E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723.477,00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E37BA2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358.881,38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AED2A8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7857E5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49,61%</w:t>
            </w:r>
          </w:p>
        </w:tc>
      </w:tr>
      <w:tr w14:paraId="34042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E3C9AB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5.2. Ostale pomoći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60798D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380.024,25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C8086A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1.056,00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9BB17E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1.055,20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991B5B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0,28%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5F5066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99,92%</w:t>
            </w:r>
          </w:p>
        </w:tc>
      </w:tr>
      <w:tr w14:paraId="1078C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E7FDF9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5.4. Europski poljoprivredni jamstveni fond (EAGF)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AB0ADC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14.703,32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7072E3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840,00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984D10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898,98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7545D6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6,11%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A8FFA0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107,02%</w:t>
            </w:r>
          </w:p>
        </w:tc>
      </w:tr>
      <w:tr w14:paraId="7BC9F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4D4020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5.6. Fondovi EU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45DF56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39C086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20.400,00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3FAE95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12.555,14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BD5FEC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B9CDCA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61,54%</w:t>
            </w:r>
          </w:p>
        </w:tc>
      </w:tr>
      <w:tr w14:paraId="2374A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F51715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6. DONACIJE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4276210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48DCC34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583C898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2575013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14BCA0E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7B861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C74877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 6.1. DONACIJE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D7DCAE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DDED91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93C006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DE86B9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873BF7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23A4A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81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620A5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F4AD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7A97E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E433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5FD0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3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90A8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2F29C5F5"/>
    <w:p w14:paraId="709C0CB6"/>
    <w:p w14:paraId="2DA0919D"/>
    <w:p w14:paraId="03FEF24E"/>
    <w:p w14:paraId="66A24BA3"/>
    <w:p w14:paraId="7B3C99FB"/>
    <w:p w14:paraId="5EEC365B"/>
    <w:p w14:paraId="26EE2AC9"/>
    <w:p w14:paraId="19EC1FD0"/>
    <w:p w14:paraId="128D2A49"/>
    <w:p w14:paraId="4C9BDD14"/>
    <w:p w14:paraId="127D28B4"/>
    <w:p w14:paraId="668F2C19"/>
    <w:p w14:paraId="53BC2137"/>
    <w:p w14:paraId="567D8083"/>
    <w:p w14:paraId="572D0888"/>
    <w:p w14:paraId="0D704219"/>
    <w:p w14:paraId="0D587674"/>
    <w:p w14:paraId="3DFC9A81"/>
    <w:p w14:paraId="4B79EDA6"/>
    <w:p w14:paraId="2BE03B10"/>
    <w:p w14:paraId="1D9BA974"/>
    <w:p w14:paraId="77C08FF8"/>
    <w:p w14:paraId="31600C37"/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0"/>
      </w:tblGrid>
      <w:tr w14:paraId="30ED3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15BD8">
            <w:pP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1.2.3.                                                               Rashodi prema funkcijskoj klasifikaciji</w:t>
            </w:r>
          </w:p>
        </w:tc>
      </w:tr>
    </w:tbl>
    <w:p w14:paraId="78FBE897"/>
    <w:p w14:paraId="4FB494F6">
      <w:r>
        <w:fldChar w:fldCharType="begin"/>
      </w:r>
      <w:r>
        <w:instrText xml:space="preserve"> LINK Excel.Sheet.12 "F:\\ Ispis izvršenja proračuna.xlsx" "Rashodi prema funkcijskoj klasi!R7C1:R16C16" \a \f 4 \h  \* MERGEFORMAT </w:instrText>
      </w:r>
      <w:r>
        <w:fldChar w:fldCharType="separate"/>
      </w:r>
    </w:p>
    <w:tbl>
      <w:tblPr>
        <w:tblStyle w:val="12"/>
        <w:tblW w:w="1442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902"/>
        <w:gridCol w:w="902"/>
        <w:gridCol w:w="902"/>
        <w:gridCol w:w="901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4"/>
      </w:tblGrid>
      <w:tr w14:paraId="5A903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442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449CD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Za razdoblje od 01.01.2026. do 30.06.2026.</w:t>
            </w:r>
          </w:p>
        </w:tc>
      </w:tr>
      <w:tr w14:paraId="22AF0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442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F709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 xml:space="preserve">      Izvještaja o izvršenju financijskog plana za razdoblje 01.01.2026. – 30.06..2026.</w:t>
            </w:r>
          </w:p>
        </w:tc>
      </w:tr>
      <w:tr w14:paraId="29525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30FEFFA6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Račun/Opis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41A24FA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2025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AD6BD65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Izvorni plan 2026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6B2C8B9A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2026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26F490D4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3/1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F64CE7D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3/2</w:t>
            </w:r>
          </w:p>
        </w:tc>
      </w:tr>
      <w:tr w14:paraId="14F9C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55FE150E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F7AA649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6F49FD15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47F022C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1783090F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18FF4B56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</w:t>
            </w:r>
          </w:p>
        </w:tc>
      </w:tr>
      <w:tr w14:paraId="481E6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4E9190A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Funkcijska klasifikacija  SVEUKUPNI RASHODI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41669FB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425.102,74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190B36C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5E40782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6A4F766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94,17%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057DD9E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50,20%</w:t>
            </w:r>
          </w:p>
        </w:tc>
      </w:tr>
      <w:tr w14:paraId="40F4C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</w:tcPr>
          <w:p w14:paraId="51403A87">
            <w:pP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Funkcijska klasifikacija 09 Obrazovanje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</w:tcPr>
          <w:p w14:paraId="28123EA3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425.102,74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</w:tcPr>
          <w:p w14:paraId="5EF9B4C7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</w:tcPr>
          <w:p w14:paraId="2C990DA9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</w:tcPr>
          <w:p w14:paraId="06ADDE4C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94,17%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</w:tcPr>
          <w:p w14:paraId="5735AB2D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50,20%</w:t>
            </w:r>
          </w:p>
        </w:tc>
      </w:tr>
      <w:tr w14:paraId="34931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094C6548">
            <w:pP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Funkcijska klasifikacija 091 Predškolsko i osnovno obrazovanje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52D63C91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382.957,06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7FDE7677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729.910,72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1473B3BC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361.185,62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35C2FA8E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94,31%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1412E976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49,48%</w:t>
            </w:r>
          </w:p>
        </w:tc>
      </w:tr>
      <w:tr w14:paraId="36FB7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0B2B2300">
            <w:pP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Funkcijska klasifikacija 096 Dodatne usluge u obrazovanju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10EA79C4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42.145,68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0E4E019D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67.600,00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61A09A5B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39.149,13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694E8958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92,89%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</w:tcPr>
          <w:p w14:paraId="04F7F194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57,91%</w:t>
            </w:r>
          </w:p>
        </w:tc>
      </w:tr>
      <w:tr w14:paraId="47678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5ADAB">
            <w:pPr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45BB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FC9E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33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B22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F71B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9FEC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0D45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ED9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D877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35A6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0817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1D2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31F9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0A2F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91BA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56AF9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A166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B705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DFD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64A2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863D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BBBB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D890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E2C0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AFC3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A289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2F5B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C89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5212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5A13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6C93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1539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7316E828">
      <w:r>
        <w:fldChar w:fldCharType="end"/>
      </w:r>
    </w:p>
    <w:p w14:paraId="50D537BF"/>
    <w:p w14:paraId="1EC885E9"/>
    <w:p w14:paraId="0DC6083A"/>
    <w:p w14:paraId="01363E9D"/>
    <w:p w14:paraId="190CC097"/>
    <w:p w14:paraId="19451323"/>
    <w:p w14:paraId="09FBE020"/>
    <w:p w14:paraId="1ED1E283"/>
    <w:p w14:paraId="74EB843B"/>
    <w:p w14:paraId="0A3CBC51"/>
    <w:p w14:paraId="793B911D"/>
    <w:p w14:paraId="7D3AFF97"/>
    <w:p w14:paraId="5B6C4003"/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0"/>
      </w:tblGrid>
      <w:tr w14:paraId="5B6E996D">
        <w:trPr>
          <w:trHeight w:val="37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08C2E">
            <w:pP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1.3.1.                                                   Račun financiranja prema ekonomskoj klasifikaciji</w:t>
            </w:r>
          </w:p>
        </w:tc>
      </w:tr>
    </w:tbl>
    <w:p w14:paraId="713F044A"/>
    <w:tbl>
      <w:tblPr>
        <w:tblStyle w:val="12"/>
        <w:tblW w:w="1409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7"/>
        <w:gridCol w:w="1733"/>
        <w:gridCol w:w="2063"/>
        <w:gridCol w:w="1733"/>
        <w:gridCol w:w="1291"/>
        <w:gridCol w:w="1293"/>
      </w:tblGrid>
      <w:tr w14:paraId="586B60E7">
        <w:trPr>
          <w:trHeight w:val="336" w:hRule="atLeast"/>
        </w:trPr>
        <w:tc>
          <w:tcPr>
            <w:tcW w:w="1409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EC43D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Za razdoblje od 01.01.2026. do 30.06.2026.</w:t>
            </w:r>
          </w:p>
        </w:tc>
      </w:tr>
      <w:tr w14:paraId="5C1A9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09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16ACA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br w:type="textWrapping"/>
            </w: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 xml:space="preserve">      Izvještaja o izvršenju financijskog plana za razdoblje 01.01.2026. – 30.06..2026.</w:t>
            </w:r>
          </w:p>
        </w:tc>
      </w:tr>
      <w:tr w14:paraId="6DFCA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0437BE6D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Racun/Opis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699115E4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7E01B1CD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Izvorni plan 2026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220F0DD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692E16D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3/1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BDED0CA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3/2</w:t>
            </w:r>
          </w:p>
        </w:tc>
      </w:tr>
      <w:tr w14:paraId="51C4B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107C3F29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B. RAČUN ZADUŽIVANJA FINANCIRANJA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98FBEF8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6A9DF6F9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4918A837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1FA2630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497E1F9">
            <w:pPr>
              <w:jc w:val="center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5</w:t>
            </w:r>
          </w:p>
        </w:tc>
      </w:tr>
      <w:tr w14:paraId="0F382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3588BF1">
            <w:pP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 xml:space="preserve"> NETO FINANCIRANJE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6FD4981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6DF9D977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-55.559,24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251890F6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A7DE20B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A558E13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</w:tr>
      <w:tr w14:paraId="22BAF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8630F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D3CF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7EB8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45FA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77FC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E193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56E5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D5E6F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 Vlastiti izvori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CAFC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1F7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-55.559,24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109D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2A53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9065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5052E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9DD5E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92 Rezultat poslovanja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E210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53CF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-55.559,24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0B78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CBFA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16A2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074CC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1697D766">
            <w:pP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 xml:space="preserve"> KORIŠTENJE SREDSTAVA IZ PRETHODNIH GODINA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A2F2FA8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F44246F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-55.559,24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4369F73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4E8FD28C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E8D218B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19946F4A"/>
    <w:p w14:paraId="6E7E2CA4"/>
    <w:p w14:paraId="798389B5"/>
    <w:p w14:paraId="4646E7F4"/>
    <w:p w14:paraId="293D5794"/>
    <w:p w14:paraId="31559DBC"/>
    <w:p w14:paraId="3C910E63"/>
    <w:p w14:paraId="23E1C4AF"/>
    <w:p w14:paraId="27432373"/>
    <w:p w14:paraId="55B3BD41"/>
    <w:p w14:paraId="038A4C26"/>
    <w:p w14:paraId="3FBB4CBF"/>
    <w:p w14:paraId="239542C8"/>
    <w:p w14:paraId="1A5F7A28"/>
    <w:p w14:paraId="6B705594"/>
    <w:p w14:paraId="4F900F58"/>
    <w:p w14:paraId="64A9711E"/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4"/>
        <w:gridCol w:w="429"/>
        <w:gridCol w:w="429"/>
        <w:gridCol w:w="429"/>
        <w:gridCol w:w="432"/>
        <w:gridCol w:w="432"/>
        <w:gridCol w:w="432"/>
        <w:gridCol w:w="432"/>
        <w:gridCol w:w="429"/>
        <w:gridCol w:w="429"/>
        <w:gridCol w:w="429"/>
        <w:gridCol w:w="432"/>
        <w:gridCol w:w="429"/>
        <w:gridCol w:w="432"/>
        <w:gridCol w:w="429"/>
        <w:gridCol w:w="432"/>
        <w:gridCol w:w="429"/>
        <w:gridCol w:w="432"/>
        <w:gridCol w:w="429"/>
        <w:gridCol w:w="432"/>
        <w:gridCol w:w="429"/>
        <w:gridCol w:w="219"/>
      </w:tblGrid>
      <w:tr w14:paraId="471A8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2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5770C">
            <w:pP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1.3.2.                                                              Račun financiranja prema izvorima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D774">
            <w:pP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</w:p>
        </w:tc>
      </w:tr>
      <w:tr w14:paraId="00AE5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2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73F21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BF3C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14:paraId="2C2F9F0D">
        <w:trPr>
          <w:trHeight w:val="300" w:hRule="atLeast"/>
        </w:trPr>
        <w:tc>
          <w:tcPr>
            <w:tcW w:w="492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12"/>
              <w:tblW w:w="2122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6"/>
              <w:gridCol w:w="626"/>
              <w:gridCol w:w="626"/>
              <w:gridCol w:w="626"/>
              <w:gridCol w:w="626"/>
              <w:gridCol w:w="626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7"/>
              <w:gridCol w:w="624"/>
            </w:tblGrid>
            <w:tr w14:paraId="5F0A0A6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20265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837182A">
                  <w:pPr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t>Za razdoblje od 01.01.2026. do 30.06.2026.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4A6D36F">
                  <w:pPr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</w:p>
              </w:tc>
            </w:tr>
            <w:tr w14:paraId="501758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20265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F3F3E9C">
                  <w:pPr>
                    <w:spacing w:after="240"/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br w:type="textWrapping"/>
                  </w: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br w:type="textWrapping"/>
                  </w: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  <w:t xml:space="preserve">      Izvještaja o izvršenju financijskog plana za razdoblje 01.01.2026. – 30.06..2026.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851AAEE">
                  <w:pPr>
                    <w:spacing w:after="240"/>
                    <w:jc w:val="center"/>
                    <w:rPr>
                      <w:rFonts w:ascii="Calibri" w:hAnsi="Calibri" w:eastAsia="Times New Roman" w:cs="Calibri"/>
                      <w:color w:val="000000"/>
                      <w:kern w:val="0"/>
                      <w:lang w:eastAsia="hr-HR"/>
                      <w14:ligatures w14:val="none"/>
                    </w:rPr>
                  </w:pPr>
                </w:p>
              </w:tc>
            </w:tr>
            <w:tr w14:paraId="379292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AAB4A3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4B1BC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74E46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6A1D3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8F0188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DEADB4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5EBD90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F213B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EB77C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5FB3E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E85D39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1297C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754896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128EAE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9C92EC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614A0B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65B80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52164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2D4F9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E529391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0F4018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BEABE4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124CB28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15556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67A0EF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39DA6B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211E47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377951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9F224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F26A2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ADF907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B622D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F62498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8AB69D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308B7A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07B156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F0FB0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3DBB1A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E3C1B0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2E513F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3BE0E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2F75D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C8082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EE8F1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AF4898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3591129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36A68D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44107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238665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BB11E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AA1C1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8047B0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F122EC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D58DF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B48C47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376858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EDE1D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FCCAD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FF8C7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6BCF87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A94C66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88BF06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916AF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4C25D2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7B801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ED1E8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6B8579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905FB9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5397595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82083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80E62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80AB318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8597C0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1BA08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3E9432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6C274F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0E890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1AC25E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366CD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F9C20D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696770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61A07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55A2E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58A36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880CA7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E4AF6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297FF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A1E40F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5AF9D6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D361F1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5337FA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5402DF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04C6C6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E76B8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F16130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E4073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2F4F05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9B5180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672632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73136B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60CC95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3951E0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AD729F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B12F83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1C8D6CE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0E57699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03BCA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6909E3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8AD44A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2F5F7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6DEC76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15465B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538E294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2593995">
                  <w:pPr>
                    <w:rPr>
                      <w:rFonts w:ascii="Times New Roman" w:hAnsi="Times New Roman" w:eastAsia="Times New Roman" w:cs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14:paraId="6F859B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0D4B9B76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Račun / opis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2897A668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Izvršenje 2025.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5CD7A185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Izvorni plan 2026.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575C5EEE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Izvršenje 2026.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0DB2B4B8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Indeks  3/1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1BCBABAC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Indeks  3/2</w:t>
                  </w:r>
                </w:p>
              </w:tc>
            </w:tr>
            <w:tr w14:paraId="6E33A4D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739D4349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B. RAČUN ZADUŽIVANJA FINANCIRANJA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732B42EC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5DB35E3B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2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4532D912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4ABE66FF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4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</w:tcPr>
                <w:p w14:paraId="05822E37">
                  <w:pPr>
                    <w:jc w:val="center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</w:t>
                  </w:r>
                </w:p>
              </w:tc>
            </w:tr>
            <w:tr w14:paraId="519BA3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4E4769B4">
                  <w:pP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 xml:space="preserve"> KORIŠTENJE SREDSTAVA IZ PRETHODNIH GODINA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24AEEEA4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6605D1A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60.034,68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0849103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75FF12CC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</w:tcPr>
                <w:p w14:paraId="558104A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color w:val="FFFFFF"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645517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5AE3021B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1. OPĆI PRIHODI I PRIMICI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51D4B2FA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67E3139C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5.411,83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0D742C01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3CC8DE2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00FF7C6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4B5855E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2F75274F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1.1. OPĆI PRIHODI I PRIMICI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3C71D1A6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75849FDF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5.411,83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7BF634A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2F4EFA9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03F0E39B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0B9B0D3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16E33E6E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5. POMOĆI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26DEC37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4AFCE32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54.622,85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62A40B5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4A54DCB4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</w:tcPr>
                <w:p w14:paraId="34A3D12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119D5A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56561D11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5.0. Pomoći iz državnog proračuna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40A5F037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38FD3C0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52.471,23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65F5C94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213709E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578482DE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5C126BC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5C9AA21B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5.4. Europski poljoprivredni jamstveni fond (EAGF)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3349D381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3243D2B5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39,00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6EF7313C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1C28AF94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5FE48014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  <w:tr w14:paraId="76FC53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58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49BCF247">
                  <w:pP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5.6. Fondovi EU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70A770D8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62A1139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2.112,62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587A65B2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6A9C3A93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  <w:tc>
                <w:tcPr>
                  <w:tcW w:w="1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99"/>
                  <w:noWrap/>
                  <w:vAlign w:val="bottom"/>
                </w:tcPr>
                <w:p w14:paraId="067FFC3D">
                  <w:pPr>
                    <w:jc w:val="right"/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b/>
                      <w:bCs/>
                      <w:kern w:val="0"/>
                      <w:lang w:eastAsia="hr-HR"/>
                      <w14:ligatures w14:val="none"/>
                    </w:rPr>
                    <w:t> </w:t>
                  </w:r>
                </w:p>
              </w:tc>
            </w:tr>
          </w:tbl>
          <w:p w14:paraId="3A4DEB62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BE226">
            <w:pPr>
              <w:spacing w:after="24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14:paraId="5D64A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587F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F060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7CDF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5E4F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C7AF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737C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33DB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32AF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E46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B41F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EBF4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CEE1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7E15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BDA4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0FD2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C9F9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2C58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F6C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AEF0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FFAD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EAA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4D10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3C3DB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BFE7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F18C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5EDB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E8A5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EBA7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47FA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1553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F50B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82A4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A258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DA58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C3F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F18A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269E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6BB9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7211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D40C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BE35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C9B6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1A2D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F53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82AC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78A7C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1F51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5738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D4CD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9D5A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66A0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F03E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6BCC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590D6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23A8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C569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38B6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76AA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41F2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CE15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D478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D009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CB43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6D0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1F8D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30C8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073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19C5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55892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676C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1A7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00CB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4CA7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8B02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A3EC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823A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933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B292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783C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760B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6ADF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BBF6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9DB5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11A3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74F8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2B39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FFDD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93EF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0CC1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16F4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7057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14:paraId="00C54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92F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CBDB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6EC1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C540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034F5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C7FA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419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6329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FCAE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8106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93ADF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44A7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A703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F701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B8C6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61CC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554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2CA0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E1EF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736E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162AE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37A3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57FC794"/>
    <w:p w14:paraId="1753290C"/>
    <w:p w14:paraId="6C5A685B"/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0"/>
      </w:tblGrid>
      <w:tr w14:paraId="4DD72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206FE">
            <w:pPr>
              <w:spacing w:after="200" w:line="276" w:lineRule="auto"/>
              <w:ind w:left="360"/>
              <w:jc w:val="center"/>
              <w:rPr>
                <w:rFonts w:ascii="Arial" w:hAnsi="Arial" w:eastAsia="Times New Roman" w:cs="Arial"/>
                <w:b/>
                <w:color w:val="000000"/>
                <w:kern w:val="0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color w:val="000000"/>
                <w:kern w:val="0"/>
                <w14:ligatures w14:val="none"/>
              </w:rPr>
              <w:t xml:space="preserve">2. POSEBNI DIO </w:t>
            </w:r>
          </w:p>
          <w:p w14:paraId="4F130EA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</w:p>
          <w:p w14:paraId="2926B281">
            <w:pPr>
              <w:jc w:val="center"/>
              <w:rPr>
                <w:rFonts w:ascii="Calibri" w:hAnsi="Calibri" w:eastAsia="Times New Roman" w:cs="Calibri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Izvještaj o izvršenju financijskog plana za 2026. godinu po izvorima financiranja i ekonomskoj klasifikaciji raspoređenih u programe koji se sastoje od aktivnosti i projekata</w:t>
            </w:r>
          </w:p>
          <w:p w14:paraId="516F65E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</w:p>
          <w:p w14:paraId="63625155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Izvršenje po programskoj klasifikaciji</w:t>
            </w:r>
          </w:p>
        </w:tc>
      </w:tr>
    </w:tbl>
    <w:p w14:paraId="0B4ED75B">
      <w:pPr>
        <w:spacing w:after="200" w:line="276" w:lineRule="auto"/>
        <w:ind w:left="360"/>
        <w:jc w:val="center"/>
      </w:pPr>
      <w:r>
        <w:fldChar w:fldCharType="begin"/>
      </w:r>
      <w:r>
        <w:instrText xml:space="preserve"> LINK Excel.Sheet.12 "F:\\ Ispis izvršenja proračuna.xlsx" "Izvršenje po programskoj klasif!R7C1:R149C16" \a \f 4 \h  \* MERGEFORMAT </w:instrText>
      </w:r>
      <w:r>
        <w:fldChar w:fldCharType="separate"/>
      </w:r>
    </w:p>
    <w:tbl>
      <w:tblPr>
        <w:tblStyle w:val="12"/>
        <w:tblW w:w="486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43"/>
        <w:gridCol w:w="971"/>
        <w:gridCol w:w="863"/>
        <w:gridCol w:w="68"/>
        <w:gridCol w:w="791"/>
        <w:gridCol w:w="666"/>
        <w:gridCol w:w="193"/>
        <w:gridCol w:w="859"/>
        <w:gridCol w:w="859"/>
        <w:gridCol w:w="864"/>
        <w:gridCol w:w="1004"/>
        <w:gridCol w:w="1004"/>
        <w:gridCol w:w="1004"/>
        <w:gridCol w:w="1004"/>
        <w:gridCol w:w="813"/>
        <w:gridCol w:w="819"/>
      </w:tblGrid>
      <w:tr w14:paraId="627F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5AC029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Organizacijska klasifikacija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32EAF06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7A15920E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28911FD8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75027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6922BC9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74AA8157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4C30CA2F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6C9565A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14:paraId="6D97D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49C8F80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Projekt/Aktivnost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3DDF87B2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VRSTA RASHODA I IZDATAKA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43659420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Izvorni plan 2026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2AF06F03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Izvršenje 2026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64DF8255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Indeks 2/1</w:t>
            </w:r>
          </w:p>
        </w:tc>
      </w:tr>
      <w:tr w14:paraId="021B9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8292" w:type="dxa"/>
          <w:trHeight w:val="301" w:hRule="atLeast"/>
        </w:trPr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65E78B4E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1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7ED81310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426043F3">
            <w:pPr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</w:t>
            </w:r>
          </w:p>
        </w:tc>
      </w:tr>
      <w:tr w14:paraId="19E56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5600C7ED">
            <w:pP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UKUPNO RASHODI I IZDATCI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7702B6B8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E28B910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B507D58">
            <w:pPr>
              <w:jc w:val="right"/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50,20%</w:t>
            </w:r>
          </w:p>
        </w:tc>
      </w:tr>
      <w:tr w14:paraId="21296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521B526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RAZDJEL 002 UPRAVNI ODJEL ZA DRUŠTVENE DJELATNOSTI, IMOVINU I OPĆE POSLOVE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7D3452D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5B5AE8C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49A02E9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50,20%</w:t>
            </w:r>
          </w:p>
        </w:tc>
      </w:tr>
      <w:tr w14:paraId="2D122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5F48B9C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GLAVA 00206 OSNOVNO ŠKOLSTVO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040BABC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4ECA031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36E5E86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50,20%</w:t>
            </w:r>
          </w:p>
        </w:tc>
      </w:tr>
      <w:tr w14:paraId="123CB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2062441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PROR. KORISNIK 08457 OSNOVNA ŠKOLA TRNOVITIČKI POPOVAC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74DB369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18CA31F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</w:tcPr>
          <w:p w14:paraId="1FEAEAC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50,20%</w:t>
            </w:r>
          </w:p>
        </w:tc>
      </w:tr>
      <w:tr w14:paraId="4026F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63D9960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4319D45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51.237,72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E6B05A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26.944,05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AC5C51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52,59%</w:t>
            </w:r>
          </w:p>
        </w:tc>
      </w:tr>
      <w:tr w14:paraId="108B4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D89D6AD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BFD811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51.237,72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74E2BD2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26.944,05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CF3D04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52,59%</w:t>
            </w:r>
          </w:p>
        </w:tc>
      </w:tr>
      <w:tr w14:paraId="2E0A4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0F4806E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EEFF605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745.773,00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6BDF38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373.390,70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034A0D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50,07%</w:t>
            </w:r>
          </w:p>
        </w:tc>
      </w:tr>
      <w:tr w14:paraId="5D66E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ACB1B53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CE3F5C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723.477,00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05896B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358.881,38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19B49B2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49,61%</w:t>
            </w:r>
          </w:p>
        </w:tc>
      </w:tr>
      <w:tr w14:paraId="007C5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DC6CA1F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5.2. Ostale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E451074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1.056,00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A952275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1.055,20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657C70E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99,92%</w:t>
            </w:r>
          </w:p>
        </w:tc>
      </w:tr>
      <w:tr w14:paraId="2C9F4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5317651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5.4. Europski poljoprivredni jamstveni fond (EAGF)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594D3C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840,00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98D1E5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898,98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5D08C34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107,02%</w:t>
            </w:r>
          </w:p>
        </w:tc>
      </w:tr>
      <w:tr w14:paraId="21A68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D76C051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5.6. Fondovi EU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FBCA29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20.400,00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2B6596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12.555,14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8911A3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61,54%</w:t>
            </w:r>
          </w:p>
        </w:tc>
      </w:tr>
      <w:tr w14:paraId="38EAC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4181244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6. DONACIJE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A818CE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707375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AE39C29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46B6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76D2EFE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6.1. DONACIJE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2B0A42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D96833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23502BE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69605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</w:tcPr>
          <w:p w14:paraId="66BDAFCD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1020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</w:tcPr>
          <w:p w14:paraId="160E3BC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Program: Obrazovanje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</w:tcPr>
          <w:p w14:paraId="3B1898F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797.510,72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</w:tcPr>
          <w:p w14:paraId="39AFFFE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400.334,75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</w:tcPr>
          <w:p w14:paraId="2FF872F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50,20%</w:t>
            </w:r>
          </w:p>
        </w:tc>
      </w:tr>
      <w:tr w14:paraId="6D85B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066DB6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A102007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4FB91E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Aktivnost: Redovna djelatnost OŠ - decentralizirane funkcije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219071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37.300,00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531AB7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21.398,02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D8AB67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57,37%</w:t>
            </w:r>
          </w:p>
        </w:tc>
      </w:tr>
      <w:tr w14:paraId="1C1B9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F3B1D4D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9DFFC2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37.300,00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0D9FEB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21.398,02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60DD7C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57,37%</w:t>
            </w:r>
          </w:p>
        </w:tc>
      </w:tr>
      <w:tr w14:paraId="1A213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48E519A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2DD517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37.300,00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F8C32B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21.398,02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082EF3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57,37%</w:t>
            </w:r>
          </w:p>
        </w:tc>
      </w:tr>
      <w:tr w14:paraId="6013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A34B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422B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4E46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37.200,00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C25E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21.398,02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F5E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57,52%</w:t>
            </w:r>
          </w:p>
        </w:tc>
      </w:tr>
      <w:tr w14:paraId="6FA89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841E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14F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Službena putovanja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4A1B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DCC5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2.331,80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5090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6618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5F3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3213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F964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3E40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EAA2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335,00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3091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9F80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8832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BFAA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Ostale naknade troškova zaposlenima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AEAC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C8FA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82,00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0EE7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FA0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54D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0B1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AC63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37A7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2.804,80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EB19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D5C9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16EB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25DB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1340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4E90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452,68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B684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F3FD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960C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3223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2232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Energija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B9B3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E2CC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7.324,36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79C3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A8D9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9BB9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EFF2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0415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7278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142,58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3609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BA11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4B88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3225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816B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Sitni inventar i autogume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B639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9335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250,49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23D2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A62C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5A08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B450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451B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0E04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1.292,32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A120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3DBD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FA25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428BE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BD6F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2A8B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1.251,87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E0B1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53E1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984A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2DDF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Komunalne usluge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9809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77F2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719,89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66BB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C429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3FC6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3235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6D66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Zakupnine i najamnine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B34B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1EC0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232,26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9A8E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5C3C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4BE0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3236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A2BA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A09E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AA12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177,00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65FB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A8F1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1B31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3237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F9F7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48D1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5796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470,00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0552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D6FA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9159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3238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DF3F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Računalne usluge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5D1E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17B9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1.717,50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CA9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6FA2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55E8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3241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9002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84D4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8BC6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150,40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1D80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6856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75F6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3293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3F93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Reprezentacija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C840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2D51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1.028,59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5C28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CAE3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402D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ED2D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Članarine i norme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C6EC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2CA3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190,00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49ED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ACCE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870D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ED96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Pristojbe i naknade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8103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25A0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104,48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A9B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48A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DA94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3299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406A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0D45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E0D8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340,00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ACA2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7351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28B9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2578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Financijski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3D16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5E2B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869F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74D47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DABE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7B4A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9287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1CB2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C397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3A542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1100F0A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A102008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01DCF6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Aktivnost: Redovna djelatnost OŠ - izvan dec. sredstava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2AA2A9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672.010,72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5308EB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331.860,12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2DED9B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49,38%</w:t>
            </w:r>
          </w:p>
        </w:tc>
      </w:tr>
      <w:tr w14:paraId="0CDCB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2858475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7375D8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16.387,72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20C333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4.456,65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916057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27,20%</w:t>
            </w:r>
          </w:p>
        </w:tc>
      </w:tr>
      <w:tr w14:paraId="619C6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D289B7E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9E205A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16.387,72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F00433E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4.456,65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8207E5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27,20%</w:t>
            </w:r>
          </w:p>
        </w:tc>
      </w:tr>
      <w:tr w14:paraId="6AB40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D48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176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6EA7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16.387,72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C8A6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4.456,65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56DD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27,20%</w:t>
            </w:r>
          </w:p>
        </w:tc>
      </w:tr>
      <w:tr w14:paraId="5C221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3562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C33A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5D38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0975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513,57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9DDE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9A6E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B142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3223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052E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Energija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8B5F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8B28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3.463,08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6701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86BF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175B5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3238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769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Računalne usluge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C91B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01A0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480,00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2C5D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CB76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BFBB8E8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2F156F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655.323,00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FA18AB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327.403,47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3541BB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49,96%</w:t>
            </w:r>
          </w:p>
        </w:tc>
      </w:tr>
      <w:tr w14:paraId="4D6F2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B8A5A9F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5C3812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654.267,00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83F2EC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326.348,27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AF17DA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49,88%</w:t>
            </w:r>
          </w:p>
        </w:tc>
      </w:tr>
      <w:tr w14:paraId="31569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55BE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3704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7390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608.667,00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5DF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308.552,98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7BA6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50,69%</w:t>
            </w:r>
          </w:p>
        </w:tc>
      </w:tr>
      <w:tr w14:paraId="6D9B0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50D5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D4ED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5991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E05C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257.102,34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1879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58F4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24E6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5A18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36E8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4BFE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10.175,20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3195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6FD9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2AAB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B6E3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F2D7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0C62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41.275,44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F041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D9D6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6E49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BC35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144E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42.800,00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C640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17.673,72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51BE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41,29%</w:t>
            </w:r>
          </w:p>
        </w:tc>
      </w:tr>
      <w:tr w14:paraId="1BCE7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D385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72B0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AD26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6CD5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16.413,72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FD86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AF17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E148E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74D9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Pristojbe i naknade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8C16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01F3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1.260,00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ABE3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5910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1AEA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37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5BEB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1627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2.500,00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B6B1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80E7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6A5D3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205C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38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4E41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donacije, kazne, naknade šteta i kapitalne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EE15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749F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121,57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DDC6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40,52%</w:t>
            </w:r>
          </w:p>
        </w:tc>
      </w:tr>
      <w:tr w14:paraId="453E8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DA22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3812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273E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Tekuće donacije u naravi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4640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EC3A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121,57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4A65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03EA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CD4A2B6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5.2. Ostale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472C654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1.056,00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22F76C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1.055,20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1ECB09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99,92%</w:t>
            </w:r>
          </w:p>
        </w:tc>
      </w:tr>
      <w:tr w14:paraId="495D5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94D5D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9AEE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847D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1.056,00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7B34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1.055,20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4A36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99,92%</w:t>
            </w:r>
          </w:p>
        </w:tc>
      </w:tr>
      <w:tr w14:paraId="14CB8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7A13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1DDC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Službena putovanja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5163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24BC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148,00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18DD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74CC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D56D3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88D0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38F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1E4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645,00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BFBE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5A23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F6EE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3237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E375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E9B0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EA79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262,20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F7D2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BB76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42A23B6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6. DONACIJE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FA8B09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58B88E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50F6C3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5B281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D8711B9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6.1. DONACIJE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1BFC71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54591F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8FCF3F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43C7D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B48E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8323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B243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7A0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BE1F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54514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2B0E06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A102009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69C98BF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Aktivnost: Prehrana za učenike osnovnih škola osigurana iz sredstava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09C910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18.000,00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173C75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8.047,98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1B3A86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44,71%</w:t>
            </w:r>
          </w:p>
        </w:tc>
      </w:tr>
      <w:tr w14:paraId="0BA7D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43A3DEE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966B47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18.000,00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427283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8.047,98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D3F2CD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44,71%</w:t>
            </w:r>
          </w:p>
        </w:tc>
      </w:tr>
      <w:tr w14:paraId="5FA25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65E0850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071939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18.000,00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038005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8.047,98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F71E67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44,71%</w:t>
            </w:r>
          </w:p>
        </w:tc>
      </w:tr>
      <w:tr w14:paraId="2BB8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A44F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3838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9B1C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18.000,00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6E48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8.047,98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B08A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44,71%</w:t>
            </w:r>
          </w:p>
        </w:tc>
      </w:tr>
      <w:tr w14:paraId="7AAB9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4B2D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DBD9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F41B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E17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8.047,98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BDBC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B153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1DE5A3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K102004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A3782B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Kapitalni projekt: Opremanje OŠ (nabava knjiga i opreme) - decentralizirana sredstva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E9E69B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2.700,00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E49828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594,86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520EC4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22,03%</w:t>
            </w:r>
          </w:p>
        </w:tc>
      </w:tr>
      <w:tr w14:paraId="2E833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BB47510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4FBD1D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2.700,00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BACDAB9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594,86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14FD3F5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22,03%</w:t>
            </w:r>
          </w:p>
        </w:tc>
      </w:tr>
      <w:tr w14:paraId="100F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7E3CD2F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9436BF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2.700,00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A93137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594,86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75DAEF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22,03%</w:t>
            </w:r>
          </w:p>
        </w:tc>
      </w:tr>
      <w:tr w14:paraId="1A47F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408A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B8B6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0183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2.700,00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D73A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594,86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ADC0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22,03%</w:t>
            </w:r>
          </w:p>
        </w:tc>
      </w:tr>
      <w:tr w14:paraId="45CCC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DAF4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A1B7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B5C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3303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560,00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D8C5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15640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B7E9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4241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FD1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Knjige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D394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B83A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34,86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596B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32EA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3CF540D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K102005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7C552D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Kapitalni projekt: Opremanje OŠ (nabava knjiga i opreme) - izvan dec. sredstava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808010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7.400,00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61C849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F16A7C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7572C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05FAABC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125AF5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DC4433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D529D8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0DF85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AE16F60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57A9089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A07CFB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8B90B6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1A9C6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6FF7C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42A6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AF8D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9715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E5F5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4FC68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D92A65B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E04C235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79B3A3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915AE24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29B74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CCA62C9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B3CA6C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0D77132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41E4E8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0669A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2FFC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BC8D0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3CB0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F872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0E04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34EA7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3A80C25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6. DONACIJE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0E6AA2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C1980C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96EA63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0557A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C6F0292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6.1. DONACIJE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9C2788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497871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425B32E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03354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833B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509CA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54C1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51A0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438D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3D96C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7D273EF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T102004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FB66DC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Tekući projekt: "Medni dan"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49DDF2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786CB0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927F96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48DE3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61939D1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0CBD65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6EB02D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0D93BF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4FD4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C1524A5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22B8D1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BD1235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146AFD4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04262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81E7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5B3C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F303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8792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DA81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58E09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602F65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T102007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AB0E85A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Tekući projekt: "Mala škola"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FCEBDD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10.400,00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956497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7.332,62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E4CF1A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70,51%</w:t>
            </w:r>
          </w:p>
        </w:tc>
      </w:tr>
      <w:tr w14:paraId="1C168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715BC4C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7E5AE7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10.000,00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162D29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7.332,62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734B52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73,33%</w:t>
            </w:r>
          </w:p>
        </w:tc>
      </w:tr>
      <w:tr w14:paraId="5E244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24BC440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FB4B0C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10.000,00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1EEA0DB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7.332,62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A9DADE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73,33%</w:t>
            </w:r>
          </w:p>
        </w:tc>
      </w:tr>
      <w:tr w14:paraId="50621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874B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1EF9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1314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D085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7.027,88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6331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78,09%</w:t>
            </w:r>
          </w:p>
        </w:tc>
      </w:tr>
      <w:tr w14:paraId="6A8E5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640E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4CE6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781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1F92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5.946,68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0FFB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3AFC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7990A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6F47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D5F4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D364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100,00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83BE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A0D1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A30E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4446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0D56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7637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981,20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F11DC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6DBD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BD8E2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C1185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8F6B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E2E7D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304,74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40F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30,47%</w:t>
            </w:r>
          </w:p>
        </w:tc>
      </w:tr>
      <w:tr w14:paraId="49E8C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3C81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F3C7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B0F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3F66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304,74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F9F2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CDA9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2D5B523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B92E1E0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1CF016F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1AE756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03AB0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671C5BB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5BB777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3E2021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077169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14:paraId="7140D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606FC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6B95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0A5CF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5A50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8EB8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14:paraId="39CAE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39454D8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T102008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C87CA2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Tekući projekt: Školska shema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063BC7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0D413FC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1.175,62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1B37768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123,75%</w:t>
            </w:r>
          </w:p>
        </w:tc>
      </w:tr>
      <w:tr w14:paraId="28F98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6C649B3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00614A6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950,00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452D5C3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1.175,62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8DF48D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123,75%</w:t>
            </w:r>
          </w:p>
        </w:tc>
      </w:tr>
      <w:tr w14:paraId="4CC37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874447E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F74730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110,00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16EE5C2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276,64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6711F1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251,49%</w:t>
            </w:r>
          </w:p>
        </w:tc>
      </w:tr>
      <w:tr w14:paraId="794D4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49B0D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D05AF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FF1C0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110,00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A312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276,64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CC6A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251,49%</w:t>
            </w:r>
          </w:p>
        </w:tc>
      </w:tr>
      <w:tr w14:paraId="10B2B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6C88E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8F1F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7464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0F34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276,64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D06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611E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7F25773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5.4. Europski poljoprivredni jamstveni fond (EAGF)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711C5B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840,00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FDC0AA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898,98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79263F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107,02%</w:t>
            </w:r>
          </w:p>
        </w:tc>
      </w:tr>
      <w:tr w14:paraId="672BB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B0A6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B55E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A7CC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840,00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157DA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898,98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4083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107,02%</w:t>
            </w:r>
          </w:p>
        </w:tc>
      </w:tr>
      <w:tr w14:paraId="4D483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851A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274DF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A8819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3EEF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898,98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24E7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2E8F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574AEE97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T102010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0B0065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Tekući projekt: "Pomoćnici u nastavi - faza VII"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2BF068F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48.650,00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40F77D1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29.925,53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7187698B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61,51%</w:t>
            </w:r>
          </w:p>
        </w:tc>
      </w:tr>
      <w:tr w14:paraId="57E42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E1CCD94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2079D87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24.650,00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9331A22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15.154,78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687E7F3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61,48%</w:t>
            </w:r>
          </w:p>
        </w:tc>
      </w:tr>
      <w:tr w14:paraId="37D45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5EB91C2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94385E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24.650,00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0E750B99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15.154,78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B4A98CA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61,48%</w:t>
            </w:r>
          </w:p>
        </w:tc>
      </w:tr>
      <w:tr w14:paraId="58506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B03A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5692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FCCF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23.310,00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70AC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14.509,54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649F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62,25%</w:t>
            </w:r>
          </w:p>
        </w:tc>
      </w:tr>
      <w:tr w14:paraId="4AC49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14BC2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455A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6AB08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C10B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11.759,01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95EBE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D9B4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4945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AAFE1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A3D6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188A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810,27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372E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D43D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FE40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A9796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6293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6EC2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1.940,26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E8C9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5DC1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32E69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83AD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591D5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1.340,00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888C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645,24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3D916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48,15%</w:t>
            </w:r>
          </w:p>
        </w:tc>
      </w:tr>
      <w:tr w14:paraId="6866C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B507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7DB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19E36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25D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645,24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C0AC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29AE3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7FDD9F1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09ED442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24.000,00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841BC6C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14.770,75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7CE649E8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61,54%</w:t>
            </w:r>
          </w:p>
        </w:tc>
      </w:tr>
      <w:tr w14:paraId="59DCA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064EEA1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5.0. Pomoći iz državnog proračuna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B23781F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3.600,00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AC40ABD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2.215,61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DDCC775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61,54%</w:t>
            </w:r>
          </w:p>
        </w:tc>
      </w:tr>
      <w:tr w14:paraId="3323A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BD10B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F508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09EA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3.390,00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42F6C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2.121,29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C18E3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62,57%</w:t>
            </w:r>
          </w:p>
        </w:tc>
      </w:tr>
      <w:tr w14:paraId="5B9E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9844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4620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036C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1712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1.719,15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E42A0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7F4A7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E760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84C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A692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14F0B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118,46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22A3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F513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9629C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E9B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AF2D1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1ED8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283,68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23753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55AB6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62A91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BB2B3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35572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210,00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1B6C7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94,32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DCB41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44,91%</w:t>
            </w:r>
          </w:p>
        </w:tc>
      </w:tr>
      <w:tr w14:paraId="4EFD7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B714E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6A0F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AFA14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8A7F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94,32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041E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4F3EC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59AC873E">
            <w:pP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5.6. Fondovi EU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4ACD3701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20.400,00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3DC40744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12.555,14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</w:tcPr>
          <w:p w14:paraId="245796BE">
            <w:pPr>
              <w:jc w:val="right"/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61,54%</w:t>
            </w:r>
          </w:p>
        </w:tc>
      </w:tr>
      <w:tr w14:paraId="79012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DC28E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DC814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A94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19.300,00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7753E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12.020,54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96F58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62,28%</w:t>
            </w:r>
          </w:p>
        </w:tc>
      </w:tr>
      <w:tr w14:paraId="3E540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73C39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E2994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DE88F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8EF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9.741,84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C6B7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E500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9B78D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38B0B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9F15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CC0B2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671,27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92C9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6DF1A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EFDF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AF5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088CD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D1C7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1.607,43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A65D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3C3DE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ECA8D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D55A6">
            <w:pP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B6D4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1.100,00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C7B44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534,60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19FD9">
            <w:pPr>
              <w:jc w:val="right"/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hr-HR"/>
                <w14:ligatures w14:val="none"/>
              </w:rPr>
              <w:t>48,60%</w:t>
            </w:r>
          </w:p>
        </w:tc>
      </w:tr>
      <w:tr w14:paraId="1E9B0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C0C27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0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B0DC8">
            <w:pP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94CA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4C8C5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534,60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72107">
            <w:pPr>
              <w:jc w:val="right"/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14:paraId="0B27B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BEAC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B924A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7F63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DE4A3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2BB0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DDD0D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5F498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53FE4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0CB0C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A4E3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6AEE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0AC7B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5DF59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62C21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7106538">
      <w:pPr>
        <w:spacing w:after="200" w:line="276" w:lineRule="auto"/>
        <w:ind w:left="360"/>
        <w:jc w:val="center"/>
      </w:pPr>
      <w:r>
        <w:fldChar w:fldCharType="end"/>
      </w:r>
    </w:p>
    <w:p w14:paraId="36DEEA3D">
      <w:pPr>
        <w:spacing w:after="200" w:line="276" w:lineRule="auto"/>
        <w:ind w:left="360"/>
        <w:jc w:val="center"/>
      </w:pPr>
    </w:p>
    <w:p w14:paraId="73213632">
      <w:pPr>
        <w:spacing w:after="200" w:line="276" w:lineRule="auto"/>
        <w:ind w:left="360"/>
        <w:jc w:val="center"/>
      </w:pPr>
    </w:p>
    <w:p w14:paraId="2EBF44A8">
      <w:pPr>
        <w:spacing w:after="200" w:line="276" w:lineRule="auto"/>
        <w:ind w:left="360"/>
        <w:jc w:val="center"/>
      </w:pPr>
    </w:p>
    <w:p w14:paraId="3DB6A310">
      <w:pPr>
        <w:spacing w:after="200" w:line="276" w:lineRule="auto"/>
        <w:ind w:left="360"/>
        <w:jc w:val="center"/>
      </w:pPr>
    </w:p>
    <w:p w14:paraId="17E117B5">
      <w:pPr>
        <w:spacing w:after="200" w:line="276" w:lineRule="auto"/>
        <w:ind w:left="360"/>
        <w:jc w:val="center"/>
      </w:pPr>
    </w:p>
    <w:p w14:paraId="7CA0308B">
      <w:pPr>
        <w:spacing w:after="200" w:line="276" w:lineRule="auto"/>
        <w:ind w:left="360"/>
        <w:jc w:val="center"/>
      </w:pPr>
    </w:p>
    <w:p w14:paraId="6F290AF0">
      <w:pPr>
        <w:spacing w:after="200" w:line="276" w:lineRule="auto"/>
        <w:ind w:left="360"/>
        <w:jc w:val="center"/>
      </w:pPr>
    </w:p>
    <w:p w14:paraId="47BD7F02">
      <w:pPr>
        <w:spacing w:after="200" w:line="276" w:lineRule="auto"/>
        <w:ind w:left="360"/>
        <w:jc w:val="center"/>
      </w:pPr>
    </w:p>
    <w:p w14:paraId="603E18A5">
      <w:pPr>
        <w:spacing w:after="200" w:line="276" w:lineRule="auto"/>
        <w:ind w:left="360"/>
        <w:jc w:val="center"/>
      </w:pPr>
    </w:p>
    <w:p w14:paraId="5ED0CA29">
      <w:pPr>
        <w:spacing w:after="200" w:line="276" w:lineRule="auto"/>
        <w:ind w:left="360"/>
        <w:jc w:val="center"/>
      </w:pPr>
    </w:p>
    <w:p w14:paraId="6AF103D2">
      <w:pPr>
        <w:spacing w:after="200" w:line="276" w:lineRule="auto"/>
        <w:ind w:left="360"/>
        <w:jc w:val="center"/>
      </w:pPr>
    </w:p>
    <w:p w14:paraId="6F292CFC">
      <w:pPr>
        <w:spacing w:after="200" w:line="276" w:lineRule="auto"/>
        <w:ind w:left="360"/>
        <w:jc w:val="center"/>
      </w:pPr>
    </w:p>
    <w:p w14:paraId="23EBF52C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3. OBRAZLOŽENJE POLUGODIŠNJEG IZVJEŠTAJA O IZVRŠENJU FINANCIJSKOG PLANA ZA 2026. GODINU</w:t>
      </w:r>
    </w:p>
    <w:p w14:paraId="2E296E41">
      <w:pPr>
        <w:spacing w:after="200" w:line="276" w:lineRule="auto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06778238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3.1. Obrazloženje općeg dijela financijskog plana</w:t>
      </w:r>
    </w:p>
    <w:p w14:paraId="31CB4036">
      <w:pPr>
        <w:spacing w:after="200" w:line="276" w:lineRule="auto"/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  <w:t xml:space="preserve">Osnovna škola Trnovitički Popovac nalazi se u punoj riznici i sva plaćanja i uplate se provode preko jedinstvenog računa riznice – Grada Garešnice. </w:t>
      </w:r>
    </w:p>
    <w:p w14:paraId="5D6B355A">
      <w:pPr>
        <w:spacing w:after="200" w:line="276" w:lineRule="auto"/>
        <w:jc w:val="both"/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  <w:t>U odnosu na tekući plan OŠ Trnovitički Popovac za 2026. godinu ostvareno je 106,55%  ukupno planiranih prihoda, te 94,84% ukupno planiranih rashoda. Usporedbom izvršenja prethodne i tekuće godine sa 30.06.2026.</w:t>
      </w:r>
    </w:p>
    <w:p w14:paraId="13637D75">
      <w:pPr>
        <w:spacing w:after="200" w:line="276" w:lineRule="auto"/>
        <w:jc w:val="both"/>
        <w:rPr>
          <w:rFonts w:ascii="Times New Roman" w:hAnsi="Times New Roman" w:eastAsia="Times New Roman" w:cs="Times New Roman"/>
          <w:bCs/>
          <w:color w:val="FF0000"/>
          <w:kern w:val="0"/>
          <w:sz w:val="24"/>
          <w:szCs w:val="24"/>
          <w14:ligatures w14:val="none"/>
        </w:rPr>
      </w:pPr>
    </w:p>
    <w:p w14:paraId="74EAA073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PRIHODI I PRIMICI</w:t>
      </w:r>
    </w:p>
    <w:p w14:paraId="68BD5532">
      <w:pPr>
        <w:spacing w:after="200" w:line="276" w:lineRule="auto"/>
        <w:jc w:val="both"/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  <w:t xml:space="preserve">Financijskim planom  za razdoblje od 1.1.2026. - 30.6.2026. predviđeni su ukupni prihodi poslovanja u visini 426.534,98 €, dok su isti ostvareni u iznosu od 394.124,37 eura, odnosno  0,925% plana. </w:t>
      </w:r>
    </w:p>
    <w:p w14:paraId="6B40848D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tbl>
      <w:tblPr>
        <w:tblStyle w:val="12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4478"/>
        <w:gridCol w:w="1126"/>
        <w:gridCol w:w="1972"/>
        <w:gridCol w:w="1412"/>
      </w:tblGrid>
      <w:tr w14:paraId="1345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252A06E4">
            <w:pPr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Red.br</w:t>
            </w:r>
          </w:p>
        </w:tc>
        <w:tc>
          <w:tcPr>
            <w:tcW w:w="4478" w:type="dxa"/>
          </w:tcPr>
          <w:p w14:paraId="5857216F">
            <w:pP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Naziv prihoda</w:t>
            </w:r>
          </w:p>
        </w:tc>
        <w:tc>
          <w:tcPr>
            <w:tcW w:w="1126" w:type="dxa"/>
            <w:vAlign w:val="center"/>
          </w:tcPr>
          <w:p w14:paraId="21AA798A">
            <w:pPr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konto</w:t>
            </w:r>
          </w:p>
        </w:tc>
        <w:tc>
          <w:tcPr>
            <w:tcW w:w="1972" w:type="dxa"/>
          </w:tcPr>
          <w:p w14:paraId="24057149">
            <w:pPr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iznos</w:t>
            </w:r>
          </w:p>
        </w:tc>
        <w:tc>
          <w:tcPr>
            <w:tcW w:w="1412" w:type="dxa"/>
          </w:tcPr>
          <w:p w14:paraId="7FD7C24D">
            <w:pPr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Indeks izvršenja</w:t>
            </w:r>
          </w:p>
        </w:tc>
      </w:tr>
      <w:tr w14:paraId="404B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7EA554E7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4478" w:type="dxa"/>
          </w:tcPr>
          <w:p w14:paraId="27B7274B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 iz inozemstva (darovnice) i od subjekata unutar općeg proračuna</w:t>
            </w:r>
          </w:p>
        </w:tc>
        <w:tc>
          <w:tcPr>
            <w:tcW w:w="1126" w:type="dxa"/>
            <w:vAlign w:val="center"/>
          </w:tcPr>
          <w:p w14:paraId="386B280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</w:t>
            </w:r>
          </w:p>
        </w:tc>
        <w:tc>
          <w:tcPr>
            <w:tcW w:w="1972" w:type="dxa"/>
          </w:tcPr>
          <w:p w14:paraId="01EAC4AC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344.871,62</w:t>
            </w:r>
          </w:p>
        </w:tc>
        <w:tc>
          <w:tcPr>
            <w:tcW w:w="1412" w:type="dxa"/>
          </w:tcPr>
          <w:p w14:paraId="2687BC33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106,33%</w:t>
            </w:r>
          </w:p>
        </w:tc>
      </w:tr>
      <w:tr w14:paraId="4B04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32976F4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4478" w:type="dxa"/>
          </w:tcPr>
          <w:p w14:paraId="7693D03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126" w:type="dxa"/>
            <w:vAlign w:val="center"/>
          </w:tcPr>
          <w:p w14:paraId="1FA8231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65</w:t>
            </w:r>
          </w:p>
        </w:tc>
        <w:tc>
          <w:tcPr>
            <w:tcW w:w="1972" w:type="dxa"/>
          </w:tcPr>
          <w:p w14:paraId="10568039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1412" w:type="dxa"/>
          </w:tcPr>
          <w:p w14:paraId="6181C8E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0%</w:t>
            </w:r>
          </w:p>
        </w:tc>
      </w:tr>
      <w:tr w14:paraId="6F86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1781B92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3. </w:t>
            </w:r>
          </w:p>
        </w:tc>
        <w:tc>
          <w:tcPr>
            <w:tcW w:w="4478" w:type="dxa"/>
          </w:tcPr>
          <w:p w14:paraId="66A87783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prodaje proizvoda i robe te pruženih usluge i prihodi od donacija</w:t>
            </w:r>
          </w:p>
        </w:tc>
        <w:tc>
          <w:tcPr>
            <w:tcW w:w="1126" w:type="dxa"/>
            <w:vAlign w:val="center"/>
          </w:tcPr>
          <w:p w14:paraId="67FDC9D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66</w:t>
            </w:r>
          </w:p>
        </w:tc>
        <w:tc>
          <w:tcPr>
            <w:tcW w:w="1972" w:type="dxa"/>
          </w:tcPr>
          <w:p w14:paraId="0E34EA24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1412" w:type="dxa"/>
          </w:tcPr>
          <w:p w14:paraId="1F0720E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0%</w:t>
            </w:r>
          </w:p>
        </w:tc>
      </w:tr>
      <w:tr w14:paraId="1530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30" w:type="dxa"/>
          </w:tcPr>
          <w:p w14:paraId="2456651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4478" w:type="dxa"/>
          </w:tcPr>
          <w:p w14:paraId="217051C3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iz proračuna za financiranje redovne djelatnosti</w:t>
            </w:r>
          </w:p>
        </w:tc>
        <w:tc>
          <w:tcPr>
            <w:tcW w:w="1126" w:type="dxa"/>
            <w:vAlign w:val="center"/>
          </w:tcPr>
          <w:p w14:paraId="6CFD60B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67</w:t>
            </w:r>
          </w:p>
        </w:tc>
        <w:tc>
          <w:tcPr>
            <w:tcW w:w="1972" w:type="dxa"/>
          </w:tcPr>
          <w:p w14:paraId="4F74DD4B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49.252,75</w:t>
            </w:r>
          </w:p>
        </w:tc>
        <w:tc>
          <w:tcPr>
            <w:tcW w:w="1412" w:type="dxa"/>
          </w:tcPr>
          <w:p w14:paraId="515A6DB9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108,12%</w:t>
            </w:r>
          </w:p>
        </w:tc>
      </w:tr>
      <w:tr w14:paraId="5EBE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7333843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4478" w:type="dxa"/>
          </w:tcPr>
          <w:p w14:paraId="1A6550F0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Kazne, upravne mjere i ostali prihodi</w:t>
            </w:r>
          </w:p>
        </w:tc>
        <w:tc>
          <w:tcPr>
            <w:tcW w:w="1126" w:type="dxa"/>
            <w:vAlign w:val="center"/>
          </w:tcPr>
          <w:p w14:paraId="3BDEB7F7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68</w:t>
            </w:r>
          </w:p>
        </w:tc>
        <w:tc>
          <w:tcPr>
            <w:tcW w:w="1972" w:type="dxa"/>
          </w:tcPr>
          <w:p w14:paraId="6A446215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12" w:type="dxa"/>
          </w:tcPr>
          <w:p w14:paraId="5C73BA49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0%</w:t>
            </w:r>
          </w:p>
        </w:tc>
      </w:tr>
      <w:tr w14:paraId="7B9B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2383EDA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4478" w:type="dxa"/>
          </w:tcPr>
          <w:p w14:paraId="17417358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Prihodi od prodaje dugotrajne imovine </w:t>
            </w:r>
          </w:p>
        </w:tc>
        <w:tc>
          <w:tcPr>
            <w:tcW w:w="1126" w:type="dxa"/>
            <w:vAlign w:val="center"/>
          </w:tcPr>
          <w:p w14:paraId="44F2AF9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72</w:t>
            </w:r>
          </w:p>
        </w:tc>
        <w:tc>
          <w:tcPr>
            <w:tcW w:w="1972" w:type="dxa"/>
          </w:tcPr>
          <w:p w14:paraId="2D48002A">
            <w:pPr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412" w:type="dxa"/>
          </w:tcPr>
          <w:p w14:paraId="3E3B14D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0%</w:t>
            </w:r>
          </w:p>
        </w:tc>
      </w:tr>
      <w:tr w14:paraId="7C99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0" w:type="dxa"/>
          </w:tcPr>
          <w:p w14:paraId="49E6D034">
            <w:pPr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478" w:type="dxa"/>
          </w:tcPr>
          <w:p w14:paraId="36CE33C2">
            <w:pP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Ukupno prihodi:</w:t>
            </w:r>
          </w:p>
        </w:tc>
        <w:tc>
          <w:tcPr>
            <w:tcW w:w="1126" w:type="dxa"/>
            <w:vAlign w:val="center"/>
          </w:tcPr>
          <w:p w14:paraId="1FA45D4A">
            <w:pPr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972" w:type="dxa"/>
          </w:tcPr>
          <w:p w14:paraId="7F9BA21E">
            <w:pPr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394.124,37</w:t>
            </w:r>
          </w:p>
        </w:tc>
        <w:tc>
          <w:tcPr>
            <w:tcW w:w="1412" w:type="dxa"/>
          </w:tcPr>
          <w:p w14:paraId="10A7489F">
            <w:pPr>
              <w:jc w:val="righ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104,73%</w:t>
            </w:r>
          </w:p>
        </w:tc>
      </w:tr>
    </w:tbl>
    <w:p w14:paraId="7DBFA997">
      <w:pPr>
        <w:spacing w:after="200" w:line="276" w:lineRule="auto"/>
        <w:ind w:left="360"/>
        <w:jc w:val="center"/>
      </w:pPr>
    </w:p>
    <w:p w14:paraId="1A0A3639">
      <w:pPr>
        <w:spacing w:after="200" w:line="276" w:lineRule="auto"/>
        <w:ind w:left="360"/>
        <w:jc w:val="center"/>
      </w:pPr>
    </w:p>
    <w:p w14:paraId="6408704A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RASHODI I IZDACI</w:t>
      </w:r>
    </w:p>
    <w:p w14:paraId="32C8A4B2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Rashodi i izdaci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u 2026. godini iznose 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399.739,89 ,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što predstavlja 94,84% plana.</w:t>
      </w:r>
    </w:p>
    <w:p w14:paraId="6F3C835A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9"/>
        <w:gridCol w:w="1679"/>
        <w:gridCol w:w="1450"/>
      </w:tblGrid>
      <w:tr w14:paraId="4FEA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  <w:shd w:val="clear" w:color="auto" w:fill="A6A6A6"/>
          </w:tcPr>
          <w:p w14:paraId="7F8819AA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_Hlk130812764"/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OPIS</w:t>
            </w:r>
          </w:p>
        </w:tc>
        <w:tc>
          <w:tcPr>
            <w:tcW w:w="1679" w:type="dxa"/>
            <w:shd w:val="clear" w:color="auto" w:fill="A6A6A6"/>
          </w:tcPr>
          <w:p w14:paraId="234D8645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IZNOS</w:t>
            </w:r>
          </w:p>
        </w:tc>
        <w:tc>
          <w:tcPr>
            <w:tcW w:w="1392" w:type="dxa"/>
            <w:shd w:val="clear" w:color="auto" w:fill="A6A6A6"/>
          </w:tcPr>
          <w:p w14:paraId="7024D41D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Indeks izvršenja %</w:t>
            </w:r>
          </w:p>
        </w:tc>
      </w:tr>
      <w:tr w14:paraId="79F9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  <w:shd w:val="clear" w:color="auto" w:fill="D9D9D9"/>
          </w:tcPr>
          <w:p w14:paraId="6AD548EC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UKUPNO RASHODI I IZDACI</w:t>
            </w:r>
          </w:p>
        </w:tc>
        <w:tc>
          <w:tcPr>
            <w:tcW w:w="1679" w:type="dxa"/>
            <w:shd w:val="clear" w:color="auto" w:fill="D9D9D9"/>
          </w:tcPr>
          <w:p w14:paraId="135B78AD">
            <w:pPr>
              <w:contextualSpacing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92" w:type="dxa"/>
            <w:shd w:val="clear" w:color="auto" w:fill="D9D9D9"/>
          </w:tcPr>
          <w:p w14:paraId="373150E7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%</w:t>
            </w:r>
          </w:p>
        </w:tc>
      </w:tr>
      <w:tr w14:paraId="2803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</w:tcPr>
          <w:p w14:paraId="7133B92D">
            <w:pPr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Rashodi za zaposlene (31)</w:t>
            </w:r>
          </w:p>
        </w:tc>
        <w:tc>
          <w:tcPr>
            <w:tcW w:w="1679" w:type="dxa"/>
          </w:tcPr>
          <w:p w14:paraId="6853EFCD">
            <w:pPr>
              <w:contextualSpacing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344.232,23</w:t>
            </w:r>
          </w:p>
        </w:tc>
        <w:tc>
          <w:tcPr>
            <w:tcW w:w="1392" w:type="dxa"/>
          </w:tcPr>
          <w:p w14:paraId="7723806F">
            <w:pPr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93,06%</w:t>
            </w:r>
          </w:p>
        </w:tc>
      </w:tr>
      <w:tr w14:paraId="3482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</w:tcPr>
          <w:p w14:paraId="18ACE51C">
            <w:pPr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Materijalni rashodi (32)</w:t>
            </w:r>
          </w:p>
        </w:tc>
        <w:tc>
          <w:tcPr>
            <w:tcW w:w="1679" w:type="dxa"/>
          </w:tcPr>
          <w:p w14:paraId="3BDE1F91">
            <w:pPr>
              <w:contextualSpacing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55.386,09</w:t>
            </w:r>
          </w:p>
        </w:tc>
        <w:tc>
          <w:tcPr>
            <w:tcW w:w="1392" w:type="dxa"/>
          </w:tcPr>
          <w:p w14:paraId="536DC096">
            <w:pPr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107,67%</w:t>
            </w:r>
          </w:p>
        </w:tc>
      </w:tr>
      <w:tr w14:paraId="5062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</w:tcPr>
          <w:p w14:paraId="455EA451">
            <w:pPr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Naknade građanima (37)</w:t>
            </w:r>
          </w:p>
        </w:tc>
        <w:tc>
          <w:tcPr>
            <w:tcW w:w="1679" w:type="dxa"/>
          </w:tcPr>
          <w:p w14:paraId="5AD28786">
            <w:pPr>
              <w:contextualSpacing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392" w:type="dxa"/>
          </w:tcPr>
          <w:p w14:paraId="59A60030">
            <w:pPr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0%</w:t>
            </w:r>
          </w:p>
        </w:tc>
      </w:tr>
      <w:tr w14:paraId="39D3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</w:tcPr>
          <w:p w14:paraId="7E80A4F8">
            <w:pPr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Ostali rashodi (38)</w:t>
            </w:r>
          </w:p>
        </w:tc>
        <w:tc>
          <w:tcPr>
            <w:tcW w:w="1679" w:type="dxa"/>
          </w:tcPr>
          <w:p w14:paraId="2845B322">
            <w:pPr>
              <w:contextualSpacing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121,57</w:t>
            </w:r>
          </w:p>
        </w:tc>
        <w:tc>
          <w:tcPr>
            <w:tcW w:w="1392" w:type="dxa"/>
          </w:tcPr>
          <w:p w14:paraId="14F5EEB4">
            <w:pPr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90,19%</w:t>
            </w:r>
          </w:p>
        </w:tc>
      </w:tr>
      <w:tr w14:paraId="456C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  <w:shd w:val="clear" w:color="auto" w:fill="BFBFBF"/>
          </w:tcPr>
          <w:p w14:paraId="75FB78A7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UKUPNO (1)</w:t>
            </w:r>
          </w:p>
        </w:tc>
        <w:tc>
          <w:tcPr>
            <w:tcW w:w="1679" w:type="dxa"/>
            <w:shd w:val="clear" w:color="auto" w:fill="BFBFBF"/>
          </w:tcPr>
          <w:p w14:paraId="4B50852B">
            <w:pPr>
              <w:contextualSpacing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399.739,89</w:t>
            </w:r>
          </w:p>
        </w:tc>
        <w:tc>
          <w:tcPr>
            <w:tcW w:w="1392" w:type="dxa"/>
            <w:shd w:val="clear" w:color="auto" w:fill="BFBFBF"/>
          </w:tcPr>
          <w:p w14:paraId="6B11AF0A">
            <w:pPr>
              <w:contextualSpacing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94,84%</w:t>
            </w:r>
          </w:p>
          <w:p w14:paraId="20750C78">
            <w:pPr>
              <w:contextualSpacing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14:paraId="0A550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</w:tcPr>
          <w:p w14:paraId="5EF6EBEE">
            <w:pPr>
              <w:contextualSpacing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Rashodi za nabavu proizvedene dugotrajne imovine (42)</w:t>
            </w:r>
          </w:p>
        </w:tc>
        <w:tc>
          <w:tcPr>
            <w:tcW w:w="1679" w:type="dxa"/>
          </w:tcPr>
          <w:p w14:paraId="41C5FC54">
            <w:pPr>
              <w:contextualSpacing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594,86</w:t>
            </w:r>
          </w:p>
        </w:tc>
        <w:tc>
          <w:tcPr>
            <w:tcW w:w="1392" w:type="dxa"/>
          </w:tcPr>
          <w:p w14:paraId="636DE773">
            <w:pPr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  <w:t>16,45%</w:t>
            </w:r>
          </w:p>
        </w:tc>
      </w:tr>
      <w:tr w14:paraId="288A9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  <w:shd w:val="clear" w:color="auto" w:fill="BFBFBF"/>
          </w:tcPr>
          <w:p w14:paraId="7AA677D3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UKUPNO (2)</w:t>
            </w:r>
          </w:p>
        </w:tc>
        <w:tc>
          <w:tcPr>
            <w:tcW w:w="1679" w:type="dxa"/>
            <w:shd w:val="clear" w:color="auto" w:fill="BFBFBF"/>
          </w:tcPr>
          <w:p w14:paraId="5F4FD8CE">
            <w:pPr>
              <w:contextualSpacing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</w:t>
            </w:r>
          </w:p>
          <w:p w14:paraId="153D3A1E">
            <w:pPr>
              <w:contextualSpacing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2" w:type="dxa"/>
            <w:shd w:val="clear" w:color="auto" w:fill="BFBFBF"/>
          </w:tcPr>
          <w:p w14:paraId="68EB5E39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0%</w:t>
            </w:r>
          </w:p>
        </w:tc>
      </w:tr>
      <w:tr w14:paraId="3070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89" w:type="dxa"/>
            <w:shd w:val="clear" w:color="auto" w:fill="BFBFBF"/>
          </w:tcPr>
          <w:p w14:paraId="688CD087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UKUPNO (3)</w:t>
            </w:r>
          </w:p>
        </w:tc>
        <w:tc>
          <w:tcPr>
            <w:tcW w:w="1679" w:type="dxa"/>
            <w:shd w:val="clear" w:color="auto" w:fill="BFBFBF"/>
          </w:tcPr>
          <w:p w14:paraId="7D28A76D">
            <w:pPr>
              <w:contextualSpacing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400.334,75</w:t>
            </w:r>
          </w:p>
        </w:tc>
        <w:tc>
          <w:tcPr>
            <w:tcW w:w="1392" w:type="dxa"/>
            <w:shd w:val="clear" w:color="auto" w:fill="BFBFBF"/>
          </w:tcPr>
          <w:p w14:paraId="1BABFF61">
            <w:pPr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94,17%</w:t>
            </w:r>
          </w:p>
        </w:tc>
      </w:tr>
      <w:bookmarkEnd w:id="0"/>
    </w:tbl>
    <w:p w14:paraId="7731AAE8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477673C0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26437521">
      <w:pPr>
        <w:pStyle w:val="63"/>
        <w:rPr>
          <w:b/>
          <w:sz w:val="24"/>
          <w:szCs w:val="24"/>
        </w:rPr>
      </w:pPr>
      <w:r>
        <w:rPr>
          <w:sz w:val="24"/>
          <w:szCs w:val="24"/>
        </w:rPr>
        <w:t xml:space="preserve">Razlika ukupnih prihoda i primitaka te rashoda i izdataka predstavlja </w:t>
      </w:r>
      <w:r>
        <w:rPr>
          <w:b/>
          <w:bCs/>
          <w:sz w:val="24"/>
          <w:szCs w:val="24"/>
        </w:rPr>
        <w:t>manjak u iznosu od 55.559,24</w:t>
      </w:r>
      <w:r>
        <w:rPr>
          <w:b/>
          <w:sz w:val="24"/>
          <w:szCs w:val="24"/>
        </w:rPr>
        <w:t xml:space="preserve"> €.</w:t>
      </w:r>
    </w:p>
    <w:p w14:paraId="4125C7E5">
      <w:pPr>
        <w:pStyle w:val="63"/>
        <w:rPr>
          <w:b/>
          <w:sz w:val="24"/>
          <w:szCs w:val="24"/>
        </w:rPr>
      </w:pPr>
    </w:p>
    <w:p w14:paraId="2B0F5EA8">
      <w:pPr>
        <w:pStyle w:val="6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Manjak proizlazi iz knjiženih 7 plaća na trošak sa 30.06.2026. ukinut je konto 193110 . </w:t>
      </w:r>
    </w:p>
    <w:p w14:paraId="3282D339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3.2. Obrazloženje posebnog dijela financijskog plana-aktivnosti i projekata</w:t>
      </w:r>
    </w:p>
    <w:p w14:paraId="5FEDFBE2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47E5068F">
      <w:pPr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Svi rashodi i izdatci detaljno su vidljivi u posebnom dijelu izvještaja o izvršenju po programskoj i ekonomskoj klasifikaciji te izvorima financiranja gdje se oni prikazuju po programima i aktivnostima</w:t>
      </w:r>
      <w:r>
        <w:rPr>
          <w:rFonts w:ascii="Times New Roman" w:hAnsi="Times New Roman" w:eastAsia="Times New Roman" w:cs="Times New Roman"/>
          <w:kern w:val="0"/>
          <w14:ligatures w14:val="none"/>
        </w:rPr>
        <w:t>.</w:t>
      </w:r>
    </w:p>
    <w:p w14:paraId="383986A6">
      <w:pPr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404D588F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Program 1020 Obrazovanje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podijeljen je na: </w:t>
      </w:r>
    </w:p>
    <w:p w14:paraId="67710A14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4CEC0DC5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Aktivnost  A102007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 redovna djelatnost OŠ – decentralizirane funkcije,</w:t>
      </w:r>
    </w:p>
    <w:p w14:paraId="3D3446AD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bookmarkStart w:id="1" w:name="_Hlk130885690"/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Aktivnost  A102008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 Redovna djelatnost OŠ – izvan dec. sredstava,</w:t>
      </w:r>
      <w:bookmarkEnd w:id="1"/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A1CAC8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Aktivnost  A102009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Prehrana za učenike osnovnih škola osigurane iz sredstava MZOM . </w:t>
      </w:r>
    </w:p>
    <w:p w14:paraId="3450491C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Kapitalni projekt  K102004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 opremanje OŠ (nabava knjiga i opreme) dec, </w:t>
      </w:r>
    </w:p>
    <w:p w14:paraId="493CA305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Kapitalni projekt  K102005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opremanje OŠ (nabava knjiga i opreme) izvan deca, </w:t>
      </w:r>
    </w:p>
    <w:p w14:paraId="439C00E3">
      <w:pP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 xml:space="preserve">Tekući projekt : „Medni dan“ T102004, </w:t>
      </w:r>
    </w:p>
    <w:p w14:paraId="300DF957">
      <w:pP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Tekući projekt: „Mala škola“  T102007,</w:t>
      </w:r>
    </w:p>
    <w:p w14:paraId="545D1FA9">
      <w:pP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Tekući projekt:  Školska shema   T102008</w:t>
      </w:r>
    </w:p>
    <w:p w14:paraId="11EF5AF6">
      <w:pP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Tekući projekt: „Pomoćnici u nastavi – faza VII“  T102010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>.</w:t>
      </w:r>
    </w:p>
    <w:p w14:paraId="26813BE0">
      <w:pP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2D4C9275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6D9B6812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6E2575B7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67269EA1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30E0234E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0E6EAB79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25576BEA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46417A8B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7B51842C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75DF6905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0B10D27E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5548756D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0CAE0B05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171A2A2D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22D3C62F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5928CAD4">
      <w:pPr>
        <w:jc w:val="center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7DF46502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POSEBAN IZVJEŠTAJ U GODIŠNJEM IZVJEŠTAJU O IZVRŠENJU FINANCIJSKOG PLANA</w:t>
      </w:r>
    </w:p>
    <w:p w14:paraId="23D40247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17681DB6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10488046">
      <w:pP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4.1. Izvještaj o zaduživanju na domaćem i stranom tržištu kapitala</w:t>
      </w:r>
    </w:p>
    <w:p w14:paraId="486DB6E6">
      <w:pP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340E7B9C">
      <w:pPr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 xml:space="preserve"> Osnovna škola Trnovitički Popovac u razdoblju od 1.1.2026. - 30.6.2026. godine nije se zaduživala na domaćem i stranom tržištu kapitala.</w:t>
      </w:r>
    </w:p>
    <w:p w14:paraId="2AA8D249">
      <w:pPr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2998005B">
      <w:pPr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4.2. Izvještaj o korištenju sredstava fondova Europske unije</w:t>
      </w:r>
    </w:p>
    <w:p w14:paraId="475261A0">
      <w:pPr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E78044D">
      <w:pP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Osnovna škola Trnovitički Popovac u razdoblju od 1.1.2026. - 30.6.2026. godine  koristila je sredstva fondova EU .</w:t>
      </w:r>
    </w:p>
    <w:p w14:paraId="1D49DB43">
      <w:pP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</w:p>
    <w:p w14:paraId="356D5249">
      <w:pPr>
        <w:rPr>
          <w:rFonts w:ascii="Arial" w:hAnsi="Arial" w:eastAsia="Times New Roman" w:cs="Arial"/>
          <w:color w:val="000000"/>
          <w:kern w:val="0"/>
          <w:sz w:val="20"/>
          <w14:ligatures w14:val="none"/>
        </w:rPr>
      </w:pPr>
    </w:p>
    <w:p w14:paraId="3DFA9628">
      <w:pP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4.3. Izvještaj o danim zajmovima i potraživanjima po danim zajmovima</w:t>
      </w:r>
    </w:p>
    <w:p w14:paraId="515F5BFD">
      <w:pP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258E27C">
      <w:pPr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>Osnovna škola Trnovitički Popovac u razdoblju od 1.1.2026. - 30.6.2026. godine nije davala zajmove, kao ni u prijašnjim godinama, tako da nema iskazanih potraživanja.</w:t>
      </w:r>
    </w:p>
    <w:p w14:paraId="36F58644">
      <w:pPr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042CA2AB">
      <w:pPr>
        <w:rPr>
          <w:rFonts w:ascii="Times New Roman" w:hAnsi="Times New Roman" w:eastAsia="Times New Roman" w:cs="Times New Roman"/>
          <w:kern w:val="0"/>
          <w14:ligatures w14:val="none"/>
        </w:rPr>
      </w:pPr>
    </w:p>
    <w:p w14:paraId="3F6923EE">
      <w:pP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4.4. Izvještaj o stanju potraživanja i dospjelih obveza te o stanju potencijalnih obveza po osnovi sudskih sporova</w:t>
      </w:r>
    </w:p>
    <w:p w14:paraId="3F9448F0">
      <w:pP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36BEF31C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Osnovna škola Trnovitički Popovac u razdoblju od 1.1.2026. - 30.6.2026. godine ima iskazana sljedeća potraživanja:</w:t>
      </w:r>
    </w:p>
    <w:p w14:paraId="43C142E1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56813D6E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-za naknade koje se refundiraju od HZZO za bolovanja zaposlenika u iznosu od </w:t>
      </w:r>
      <w:r>
        <w:rPr>
          <w:rFonts w:ascii="Times New Roman" w:hAnsi="Times New Roman" w:eastAsia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656,15 eura </w:t>
      </w:r>
    </w:p>
    <w:p w14:paraId="371E9102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Ukupno potraživanja 656,15 €.</w:t>
      </w:r>
    </w:p>
    <w:p w14:paraId="2AADD0B8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692CF843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Na kraju izvještajnog razdoblja ukupno obveze za rashode poslovanja iznosile su 64.105,80 €, a odnose se na:</w:t>
      </w:r>
    </w:p>
    <w:p w14:paraId="7D3CFEDF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- obveze za zaposlene -231 - 58.838,20 € - nedospjele</w:t>
      </w:r>
    </w:p>
    <w:p w14:paraId="280ABDBB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- obveze za materijalne rashode -232 -  4.576,59 € – nedospjele</w:t>
      </w:r>
    </w:p>
    <w:p w14:paraId="3F1D6735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- obveze za bolovanje 0,00  eura – nedospjele</w:t>
      </w:r>
    </w:p>
    <w:p w14:paraId="660D1F8A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- obveze za predujmove  0,00 eura – nedospjele</w:t>
      </w:r>
    </w:p>
    <w:p w14:paraId="021B2603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- obveze za dugotrajnu imovinu – 242 – 34,86 € nedospjele</w:t>
      </w:r>
    </w:p>
    <w:p w14:paraId="6865E865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4763FE89">
      <w:pP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Dospjelih obveza nije bilo.</w:t>
      </w:r>
    </w:p>
    <w:p w14:paraId="6228A1D6">
      <w:pPr>
        <w:numPr>
          <w:ilvl w:val="1"/>
          <w:numId w:val="4"/>
        </w:numPr>
        <w:spacing w:after="160" w:line="259" w:lineRule="auto"/>
        <w:contextualSpacing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 xml:space="preserve"> Izvještaj o stanju potencijalnih obveza po osnovi sudskih sporova</w:t>
      </w:r>
    </w:p>
    <w:p w14:paraId="4BD5874D">
      <w:pPr>
        <w:ind w:left="1440"/>
        <w:contextualSpacing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59B478C7">
      <w:pP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7B8A4208">
      <w:pPr>
        <w:jc w:val="both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Osnovna škola Trnovitički Popovac u razdoblju od 1.1.2026. - 30.6.2026. godine nema potencijalnih obveza po osnovi sudskih sporova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021421A6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bookmarkStart w:id="2" w:name="_GoBack"/>
      <w:bookmarkEnd w:id="2"/>
    </w:p>
    <w:p w14:paraId="595B90C7">
      <w:pPr>
        <w:spacing w:after="12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28CE1A55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Polugodišnji Izvještaj o izvršenju financijskog plana Osnovne škole Trnovitički Popovac  za 2026. godinu objavit će se na internetskim stranicama Osnovne škole Trnovitički Popovac.</w:t>
      </w:r>
    </w:p>
    <w:p w14:paraId="05D4F8E9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5C38ACCF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12E0A5CC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385CB55B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26085A3C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</w:pPr>
    </w:p>
    <w:p w14:paraId="565DC7CD">
      <w:pPr>
        <w:spacing w:after="200" w:line="276" w:lineRule="auto"/>
        <w:ind w:left="1411" w:firstLine="4253"/>
        <w:jc w:val="center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Ravnatelj:</w:t>
      </w:r>
    </w:p>
    <w:p w14:paraId="66C6F669">
      <w:pPr>
        <w:spacing w:after="200" w:line="276" w:lineRule="auto"/>
        <w:ind w:left="1411" w:firstLine="4253"/>
        <w:jc w:val="center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Mustafa Bećirspahić, mag. prim. educ.</w:t>
      </w:r>
    </w:p>
    <w:p w14:paraId="79E80C68">
      <w:pPr>
        <w:spacing w:after="160" w:line="259" w:lineRule="auto"/>
        <w:rPr>
          <w:rFonts w:ascii="Calibri" w:hAnsi="Calibri" w:eastAsia="Calibri" w:cs="Times New Roman"/>
          <w:kern w:val="0"/>
          <w14:ligatures w14:val="none"/>
        </w:rPr>
      </w:pPr>
    </w:p>
    <w:p w14:paraId="62BBBC63">
      <w:pPr>
        <w:spacing w:after="200" w:line="276" w:lineRule="auto"/>
        <w:ind w:left="360"/>
        <w:jc w:val="center"/>
      </w:pPr>
    </w:p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55864"/>
    <w:multiLevelType w:val="multilevel"/>
    <w:tmpl w:val="1D255864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B64B6A"/>
    <w:multiLevelType w:val="multilevel"/>
    <w:tmpl w:val="1FB64B6A"/>
    <w:lvl w:ilvl="0" w:tentative="0">
      <w:start w:val="1"/>
      <w:numFmt w:val="bullet"/>
      <w:lvlText w:val="-"/>
      <w:lvlJc w:val="left"/>
      <w:pPr>
        <w:ind w:left="2160" w:hanging="360"/>
      </w:pPr>
      <w:rPr>
        <w:rFonts w:hint="default" w:ascii="Aptos" w:hAnsi="Aptos" w:eastAsia="Aptos" w:cs="Times New Roman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>
    <w:nsid w:val="48A64106"/>
    <w:multiLevelType w:val="multilevel"/>
    <w:tmpl w:val="48A64106"/>
    <w:lvl w:ilvl="0" w:tentative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>
    <w:nsid w:val="676D0A3B"/>
    <w:multiLevelType w:val="multilevel"/>
    <w:tmpl w:val="676D0A3B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isLgl/>
      <w:lvlText w:val="%1.%2."/>
      <w:lvlJc w:val="left"/>
      <w:pPr>
        <w:ind w:left="1854" w:hanging="720"/>
      </w:pPr>
    </w:lvl>
    <w:lvl w:ilvl="2" w:tentative="0">
      <w:start w:val="1"/>
      <w:numFmt w:val="decimal"/>
      <w:isLgl/>
      <w:lvlText w:val="%1.%2.%3."/>
      <w:lvlJc w:val="left"/>
      <w:pPr>
        <w:ind w:left="2160" w:hanging="720"/>
      </w:pPr>
    </w:lvl>
    <w:lvl w:ilvl="3" w:tentative="0">
      <w:start w:val="1"/>
      <w:numFmt w:val="decimal"/>
      <w:isLgl/>
      <w:lvlText w:val="%1.%2.%3.%4."/>
      <w:lvlJc w:val="left"/>
      <w:pPr>
        <w:ind w:left="2880" w:hanging="1080"/>
      </w:pPr>
    </w:lvl>
    <w:lvl w:ilvl="4" w:tentative="0">
      <w:start w:val="1"/>
      <w:numFmt w:val="decimal"/>
      <w:isLgl/>
      <w:lvlText w:val="%1.%2.%3.%4.%5."/>
      <w:lvlJc w:val="left"/>
      <w:pPr>
        <w:ind w:left="32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3960" w:hanging="1440"/>
      </w:pPr>
    </w:lvl>
    <w:lvl w:ilvl="6" w:tentative="0">
      <w:start w:val="1"/>
      <w:numFmt w:val="decimal"/>
      <w:isLgl/>
      <w:lvlText w:val="%1.%2.%3.%4.%5.%6.%7."/>
      <w:lvlJc w:val="left"/>
      <w:pPr>
        <w:ind w:left="4320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5040" w:hanging="1800"/>
      </w:pPr>
    </w:lvl>
    <w:lvl w:ilvl="8" w:tentative="0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B0"/>
    <w:rsid w:val="00016BF2"/>
    <w:rsid w:val="0002143C"/>
    <w:rsid w:val="00036643"/>
    <w:rsid w:val="0006515D"/>
    <w:rsid w:val="000B21BA"/>
    <w:rsid w:val="00111887"/>
    <w:rsid w:val="00117DCF"/>
    <w:rsid w:val="00177A48"/>
    <w:rsid w:val="001D5F2C"/>
    <w:rsid w:val="00275D2C"/>
    <w:rsid w:val="002F7DA1"/>
    <w:rsid w:val="003500C4"/>
    <w:rsid w:val="00366CE2"/>
    <w:rsid w:val="003B7C72"/>
    <w:rsid w:val="004341D8"/>
    <w:rsid w:val="004E3499"/>
    <w:rsid w:val="00551CB6"/>
    <w:rsid w:val="005538DB"/>
    <w:rsid w:val="00666493"/>
    <w:rsid w:val="006C010A"/>
    <w:rsid w:val="006C1760"/>
    <w:rsid w:val="006D025B"/>
    <w:rsid w:val="00717EB0"/>
    <w:rsid w:val="00776655"/>
    <w:rsid w:val="007B7DDC"/>
    <w:rsid w:val="007F40A4"/>
    <w:rsid w:val="008C456A"/>
    <w:rsid w:val="008D6EDC"/>
    <w:rsid w:val="009002E5"/>
    <w:rsid w:val="0092226B"/>
    <w:rsid w:val="0097240F"/>
    <w:rsid w:val="00A046E3"/>
    <w:rsid w:val="00A40259"/>
    <w:rsid w:val="00A84776"/>
    <w:rsid w:val="00AD30A5"/>
    <w:rsid w:val="00B37E18"/>
    <w:rsid w:val="00B5444E"/>
    <w:rsid w:val="00B659A4"/>
    <w:rsid w:val="00B94595"/>
    <w:rsid w:val="00BA7F03"/>
    <w:rsid w:val="00BB2DC2"/>
    <w:rsid w:val="00C27B5C"/>
    <w:rsid w:val="00C46134"/>
    <w:rsid w:val="00CA7B4E"/>
    <w:rsid w:val="00CC5BA8"/>
    <w:rsid w:val="00D0030D"/>
    <w:rsid w:val="00D407CF"/>
    <w:rsid w:val="00DD22A0"/>
    <w:rsid w:val="00DF571E"/>
    <w:rsid w:val="00FC02F2"/>
    <w:rsid w:val="7B63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line="259" w:lineRule="auto"/>
      <w:ind w:left="357"/>
      <w:outlineLvl w:val="0"/>
    </w:pPr>
    <w:rPr>
      <w:rFonts w:ascii="Times New Roman" w:hAnsi="Times New Roman" w:eastAsiaTheme="majorEastAsia" w:cstheme="majorBidi"/>
      <w:b/>
      <w:kern w:val="0"/>
      <w:sz w:val="28"/>
      <w:szCs w:val="32"/>
      <w14:ligatures w14:val="none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40"/>
      <w:jc w:val="both"/>
      <w:outlineLvl w:val="1"/>
    </w:pPr>
    <w:rPr>
      <w:rFonts w:ascii="Times New Roman" w:hAnsi="Times New Roman" w:eastAsiaTheme="majorEastAsia" w:cstheme="majorBidi"/>
      <w:b/>
      <w:kern w:val="0"/>
      <w:sz w:val="24"/>
      <w:szCs w:val="26"/>
      <w14:ligatures w14:val="none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54F72"/>
      <w:u w:val="single"/>
    </w:rPr>
  </w:style>
  <w:style w:type="character" w:styleId="14">
    <w:name w:val="Hyperlink"/>
    <w:basedOn w:val="11"/>
    <w:semiHidden/>
    <w:unhideWhenUsed/>
    <w:uiPriority w:val="99"/>
    <w:rPr>
      <w:color w:val="0563C1"/>
      <w:u w:val="single"/>
    </w:rPr>
  </w:style>
  <w:style w:type="paragraph" w:styleId="15">
    <w:name w:val="Subtitle"/>
    <w:basedOn w:val="1"/>
    <w:next w:val="1"/>
    <w:link w:val="28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12"/>
    <w:uiPriority w:val="59"/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Naslov 2 Char"/>
    <w:basedOn w:val="11"/>
    <w:link w:val="3"/>
    <w:qFormat/>
    <w:uiPriority w:val="9"/>
    <w:rPr>
      <w:rFonts w:ascii="Times New Roman" w:hAnsi="Times New Roman" w:eastAsiaTheme="majorEastAsia" w:cstheme="majorBidi"/>
      <w:b/>
      <w:kern w:val="0"/>
      <w:sz w:val="24"/>
      <w:szCs w:val="26"/>
      <w14:ligatures w14:val="none"/>
    </w:rPr>
  </w:style>
  <w:style w:type="character" w:customStyle="1" w:styleId="19">
    <w:name w:val="Naslov 1 Char"/>
    <w:basedOn w:val="11"/>
    <w:link w:val="2"/>
    <w:uiPriority w:val="9"/>
    <w:rPr>
      <w:rFonts w:ascii="Times New Roman" w:hAnsi="Times New Roman" w:eastAsiaTheme="majorEastAsia" w:cstheme="majorBidi"/>
      <w:b/>
      <w:kern w:val="0"/>
      <w:sz w:val="28"/>
      <w:szCs w:val="32"/>
      <w14:ligatures w14:val="none"/>
    </w:rPr>
  </w:style>
  <w:style w:type="character" w:customStyle="1" w:styleId="20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Naslov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Naslov Char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Podnaslov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t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Naglašen citat Char"/>
    <w:basedOn w:val="11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6">
    <w:name w:val="msonormal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37">
    <w:name w:val="xl65"/>
    <w:basedOn w:val="1"/>
    <w:uiPriority w:val="0"/>
    <w:pPr>
      <w:spacing w:before="100" w:beforeAutospacing="1" w:after="100" w:afterAutospacing="1"/>
    </w:pPr>
    <w:rPr>
      <w:rFonts w:ascii="Calibri" w:hAnsi="Calibri" w:eastAsia="Times New Roman" w:cs="Calibri"/>
      <w:b/>
      <w:bCs/>
      <w:kern w:val="0"/>
      <w:sz w:val="28"/>
      <w:szCs w:val="28"/>
      <w:lang w:eastAsia="hr-HR"/>
      <w14:ligatures w14:val="none"/>
    </w:rPr>
  </w:style>
  <w:style w:type="paragraph" w:customStyle="1" w:styleId="38">
    <w:name w:val="xl66"/>
    <w:basedOn w:val="1"/>
    <w:uiPriority w:val="0"/>
    <w:pP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39">
    <w:name w:val="xl67"/>
    <w:basedOn w:val="1"/>
    <w:uiPriority w:val="0"/>
    <w:pPr>
      <w:spacing w:before="100" w:beforeAutospacing="1" w:after="100" w:afterAutospacing="1"/>
      <w:jc w:val="right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40">
    <w:name w:val="xl68"/>
    <w:basedOn w:val="1"/>
    <w:uiPriority w:val="0"/>
    <w:pPr>
      <w:spacing w:before="100" w:beforeAutospacing="1" w:after="100" w:afterAutospacing="1"/>
      <w:jc w:val="right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41">
    <w:name w:val="xl69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42">
    <w:name w:val="xl70"/>
    <w:basedOn w:val="1"/>
    <w:uiPriority w:val="0"/>
    <w:pPr>
      <w:spacing w:before="100" w:beforeAutospacing="1" w:after="100" w:afterAutospacing="1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43">
    <w:name w:val="xl71"/>
    <w:basedOn w:val="1"/>
    <w:uiPriority w:val="0"/>
    <w:pPr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44">
    <w:name w:val="xl72"/>
    <w:basedOn w:val="1"/>
    <w:uiPriority w:val="0"/>
    <w:pPr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45">
    <w:name w:val="xl73"/>
    <w:basedOn w:val="1"/>
    <w:uiPriority w:val="0"/>
    <w:pPr>
      <w:shd w:val="clear" w:color="000000" w:fill="CCCCFF"/>
      <w:spacing w:before="100" w:beforeAutospacing="1" w:after="100" w:afterAutospacing="1"/>
    </w:pPr>
    <w:rPr>
      <w:rFonts w:ascii="Calibri" w:hAnsi="Calibri" w:eastAsia="Times New Roman" w:cs="Calibri"/>
      <w:b/>
      <w:bCs/>
      <w:color w:val="333333"/>
      <w:kern w:val="0"/>
      <w:sz w:val="24"/>
      <w:szCs w:val="24"/>
      <w:lang w:eastAsia="hr-HR"/>
      <w14:ligatures w14:val="none"/>
    </w:rPr>
  </w:style>
  <w:style w:type="paragraph" w:customStyle="1" w:styleId="46">
    <w:name w:val="xl74"/>
    <w:basedOn w:val="1"/>
    <w:uiPriority w:val="0"/>
    <w:pPr>
      <w:shd w:val="clear" w:color="000000" w:fill="CCCCFF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color w:val="333333"/>
      <w:kern w:val="0"/>
      <w:sz w:val="24"/>
      <w:szCs w:val="24"/>
      <w:lang w:eastAsia="hr-HR"/>
      <w14:ligatures w14:val="none"/>
    </w:rPr>
  </w:style>
  <w:style w:type="paragraph" w:customStyle="1" w:styleId="47">
    <w:name w:val="xl75"/>
    <w:basedOn w:val="1"/>
    <w:uiPriority w:val="0"/>
    <w:pPr>
      <w:shd w:val="clear" w:color="000000" w:fill="CCCCFF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color w:val="333333"/>
      <w:kern w:val="0"/>
      <w:sz w:val="24"/>
      <w:szCs w:val="24"/>
      <w:lang w:eastAsia="hr-HR"/>
      <w14:ligatures w14:val="none"/>
    </w:rPr>
  </w:style>
  <w:style w:type="paragraph" w:customStyle="1" w:styleId="48">
    <w:name w:val="xl76"/>
    <w:basedOn w:val="1"/>
    <w:uiPriority w:val="0"/>
    <w:pPr>
      <w:shd w:val="clear" w:color="000000" w:fill="FFFF99"/>
      <w:spacing w:before="100" w:beforeAutospacing="1" w:after="100" w:afterAutospacing="1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49">
    <w:name w:val="xl77"/>
    <w:basedOn w:val="1"/>
    <w:uiPriority w:val="0"/>
    <w:pPr>
      <w:shd w:val="clear" w:color="000000" w:fill="FFFF99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0">
    <w:name w:val="xl78"/>
    <w:basedOn w:val="1"/>
    <w:uiPriority w:val="0"/>
    <w:pPr>
      <w:shd w:val="clear" w:color="000000" w:fill="FFFF99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1">
    <w:name w:val="xl79"/>
    <w:basedOn w:val="1"/>
    <w:uiPriority w:val="0"/>
    <w:pPr>
      <w:shd w:val="clear" w:color="000000" w:fill="FF9900"/>
      <w:spacing w:before="100" w:beforeAutospacing="1" w:after="100" w:afterAutospacing="1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2">
    <w:name w:val="xl80"/>
    <w:basedOn w:val="1"/>
    <w:uiPriority w:val="0"/>
    <w:pPr>
      <w:shd w:val="clear" w:color="000000" w:fill="FF9900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3">
    <w:name w:val="xl81"/>
    <w:basedOn w:val="1"/>
    <w:uiPriority w:val="0"/>
    <w:pPr>
      <w:shd w:val="clear" w:color="000000" w:fill="FF9900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4">
    <w:name w:val="xl82"/>
    <w:basedOn w:val="1"/>
    <w:uiPriority w:val="0"/>
    <w:pPr>
      <w:shd w:val="clear" w:color="000000" w:fill="9999FF"/>
      <w:spacing w:before="100" w:beforeAutospacing="1" w:after="100" w:afterAutospacing="1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5">
    <w:name w:val="xl83"/>
    <w:basedOn w:val="1"/>
    <w:uiPriority w:val="0"/>
    <w:pPr>
      <w:shd w:val="clear" w:color="000000" w:fill="9999FF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6">
    <w:name w:val="xl84"/>
    <w:basedOn w:val="1"/>
    <w:uiPriority w:val="0"/>
    <w:pPr>
      <w:shd w:val="clear" w:color="000000" w:fill="9999FF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7">
    <w:name w:val="xl85"/>
    <w:basedOn w:val="1"/>
    <w:uiPriority w:val="0"/>
    <w:pPr>
      <w:shd w:val="clear" w:color="000000" w:fill="969696"/>
      <w:spacing w:before="100" w:beforeAutospacing="1" w:after="100" w:afterAutospacing="1"/>
      <w:jc w:val="center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58">
    <w:name w:val="xl86"/>
    <w:basedOn w:val="1"/>
    <w:uiPriority w:val="0"/>
    <w:pPr>
      <w:shd w:val="clear" w:color="000000" w:fill="C0C0C0"/>
      <w:spacing w:before="100" w:beforeAutospacing="1" w:after="100" w:afterAutospacing="1"/>
    </w:pPr>
    <w:rPr>
      <w:rFonts w:ascii="Calibri" w:hAnsi="Calibri" w:eastAsia="Times New Roman" w:cs="Calibri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59">
    <w:name w:val="xl87"/>
    <w:basedOn w:val="1"/>
    <w:uiPriority w:val="0"/>
    <w:pPr>
      <w:shd w:val="clear" w:color="000000" w:fill="C0C0C0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60">
    <w:name w:val="xl88"/>
    <w:basedOn w:val="1"/>
    <w:uiPriority w:val="0"/>
    <w:pPr>
      <w:shd w:val="clear" w:color="000000" w:fill="C0C0C0"/>
      <w:spacing w:before="100" w:beforeAutospacing="1" w:after="100" w:afterAutospacing="1"/>
      <w:jc w:val="right"/>
    </w:pPr>
    <w:rPr>
      <w:rFonts w:ascii="Calibri" w:hAnsi="Calibri" w:eastAsia="Times New Roman" w:cs="Calibri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61">
    <w:name w:val="xl89"/>
    <w:basedOn w:val="1"/>
    <w:uiPriority w:val="0"/>
    <w:pPr>
      <w:shd w:val="clear" w:color="000000" w:fill="969696"/>
      <w:spacing w:before="100" w:beforeAutospacing="1" w:after="100" w:afterAutospacing="1"/>
    </w:pPr>
    <w:rPr>
      <w:rFonts w:ascii="Calibri" w:hAnsi="Calibri" w:eastAsia="Times New Roman" w:cs="Calibri"/>
      <w:b/>
      <w:bCs/>
      <w:kern w:val="0"/>
      <w:sz w:val="24"/>
      <w:szCs w:val="24"/>
      <w:lang w:eastAsia="hr-HR"/>
      <w14:ligatures w14:val="none"/>
    </w:rPr>
  </w:style>
  <w:style w:type="paragraph" w:customStyle="1" w:styleId="62">
    <w:name w:val="xl90"/>
    <w:basedOn w:val="1"/>
    <w:uiPriority w:val="0"/>
    <w:pPr>
      <w:spacing w:before="100" w:beforeAutospacing="1" w:after="100" w:afterAutospacing="1"/>
      <w:jc w:val="center"/>
    </w:pPr>
    <w:rPr>
      <w:rFonts w:ascii="Calibri" w:hAnsi="Calibri" w:eastAsia="Times New Roman" w:cs="Calibri"/>
      <w:b/>
      <w:bCs/>
      <w:kern w:val="0"/>
      <w:sz w:val="28"/>
      <w:szCs w:val="28"/>
      <w:lang w:eastAsia="hr-HR"/>
      <w14:ligatures w14:val="none"/>
    </w:rPr>
  </w:style>
  <w:style w:type="paragraph" w:styleId="63">
    <w:name w:val="No Spacing"/>
    <w:qFormat/>
    <w:uiPriority w:val="1"/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3917</Words>
  <Characters>22329</Characters>
  <Lines>186</Lines>
  <Paragraphs>52</Paragraphs>
  <TotalTime>231</TotalTime>
  <ScaleCrop>false</ScaleCrop>
  <LinksUpToDate>false</LinksUpToDate>
  <CharactersWithSpaces>26194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2026-08-04T08:45:00Z</dcterms:created>
  <dc:creator>Ured 2</dc:creator>
  <cp:lastModifiedBy>Mustafa Bećirspahić</cp:lastModifiedBy>
  <cp:lastPrinted>2026-08-10T09:21:13Z</cp:lastPrinted>
  <dcterms:modified xsi:type="dcterms:W3CDTF">2026-08-10T09:21:24Z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0479886456424B3AAECA3168CF08F23D_12</vt:lpwstr>
  </property>
</Properties>
</file>